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53F6" w14:textId="77777777" w:rsidR="00290294" w:rsidRPr="002D7F4A" w:rsidRDefault="00290294" w:rsidP="00290294">
      <w:pPr>
        <w:jc w:val="both"/>
        <w:rPr>
          <w:rFonts w:ascii="Arial" w:hAnsi="Arial" w:cs="Arial"/>
          <w:b/>
          <w:sz w:val="28"/>
          <w:szCs w:val="28"/>
          <w:lang w:eastAsia="zh-CN"/>
        </w:rPr>
      </w:pPr>
      <w:r w:rsidRPr="002D7F4A">
        <w:rPr>
          <w:rFonts w:ascii="Arial" w:hAnsi="Arial" w:cs="Arial"/>
          <w:b/>
          <w:sz w:val="28"/>
          <w:szCs w:val="28"/>
          <w:lang w:eastAsia="zh-CN"/>
        </w:rPr>
        <w:t>GABARITO</w:t>
      </w:r>
    </w:p>
    <w:p w14:paraId="231CDB5C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25182DD8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2D7F4A">
        <w:rPr>
          <w:rFonts w:ascii="Arial" w:hAnsi="Arial" w:cs="Arial"/>
          <w:sz w:val="22"/>
          <w:szCs w:val="22"/>
          <w:lang w:eastAsia="zh-CN"/>
        </w:rPr>
        <w:t xml:space="preserve">1. (1,0) São todas falsas. </w:t>
      </w:r>
    </w:p>
    <w:p w14:paraId="2BA36DA5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2D7F4A">
        <w:rPr>
          <w:rFonts w:ascii="Arial" w:hAnsi="Arial" w:cs="Arial"/>
          <w:sz w:val="22"/>
          <w:szCs w:val="22"/>
          <w:lang w:eastAsia="zh-CN"/>
        </w:rPr>
        <w:t xml:space="preserve">2. </w:t>
      </w:r>
      <w:r>
        <w:rPr>
          <w:rFonts w:ascii="Arial" w:hAnsi="Arial" w:cs="Arial"/>
          <w:sz w:val="22"/>
          <w:szCs w:val="22"/>
          <w:lang w:eastAsia="zh-CN"/>
        </w:rPr>
        <w:t>(0,5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e) </w:t>
      </w:r>
      <w:r w:rsidRPr="002D7F4A">
        <w:rPr>
          <w:rFonts w:ascii="Arial" w:hAnsi="Arial" w:cs="Arial"/>
          <w:sz w:val="22"/>
          <w:szCs w:val="22"/>
        </w:rPr>
        <w:t>o Tratado CECA previa uma organização dos</w:t>
      </w:r>
    </w:p>
    <w:p w14:paraId="37B212EE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  <w:lang w:eastAsia="zh-CN"/>
        </w:rPr>
        <w:t>3.</w:t>
      </w:r>
      <w:r w:rsidRPr="00F74520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(0,5</w:t>
      </w:r>
      <w:proofErr w:type="gramStart"/>
      <w:r w:rsidRPr="002D7F4A">
        <w:rPr>
          <w:rFonts w:ascii="Arial" w:hAnsi="Arial" w:cs="Arial"/>
          <w:sz w:val="22"/>
          <w:szCs w:val="22"/>
          <w:lang w:eastAsia="zh-CN"/>
        </w:rPr>
        <w:t>)  a</w:t>
      </w:r>
      <w:proofErr w:type="gramEnd"/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>no continente europeu, tendo como destaque a</w:t>
      </w:r>
    </w:p>
    <w:p w14:paraId="458D12F2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  <w:lang w:eastAsia="zh-CN"/>
        </w:rPr>
        <w:t>(0,5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a) </w:t>
      </w:r>
      <w:r w:rsidRPr="002D7F4A">
        <w:rPr>
          <w:rFonts w:ascii="Arial" w:hAnsi="Arial" w:cs="Arial"/>
          <w:sz w:val="22"/>
          <w:szCs w:val="22"/>
        </w:rPr>
        <w:t>no começo da década de 1990, autoridades</w:t>
      </w:r>
    </w:p>
    <w:p w14:paraId="501CA9A0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  <w:lang w:eastAsia="zh-CN"/>
        </w:rPr>
        <w:t>(0,5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c) </w:t>
      </w:r>
      <w:r w:rsidRPr="002D7F4A">
        <w:rPr>
          <w:rFonts w:ascii="Arial" w:hAnsi="Arial" w:cs="Arial"/>
          <w:sz w:val="22"/>
          <w:szCs w:val="22"/>
        </w:rPr>
        <w:t>O Reino Unido nunca fez parte da chamada</w:t>
      </w:r>
    </w:p>
    <w:p w14:paraId="76A4458D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  <w:lang w:eastAsia="zh-CN"/>
        </w:rPr>
        <w:t>(0,5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e) </w:t>
      </w:r>
      <w:r w:rsidRPr="002D7F4A">
        <w:rPr>
          <w:rFonts w:ascii="Arial" w:hAnsi="Arial" w:cs="Arial"/>
          <w:sz w:val="22"/>
          <w:szCs w:val="22"/>
        </w:rPr>
        <w:t>à crise econômica mundial entre 2008 e 2010</w:t>
      </w:r>
    </w:p>
    <w:p w14:paraId="170D17AE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>7.</w:t>
      </w:r>
      <w:r w:rsidRPr="00F74520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(0,5</w:t>
      </w:r>
      <w:proofErr w:type="gramStart"/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 xml:space="preserve"> </w:t>
      </w:r>
      <w:r w:rsidRPr="002D7F4A">
        <w:rPr>
          <w:rFonts w:ascii="Arial" w:hAnsi="Arial" w:cs="Arial"/>
          <w:sz w:val="22"/>
          <w:szCs w:val="22"/>
          <w:lang w:eastAsia="zh-CN"/>
        </w:rPr>
        <w:t>d</w:t>
      </w:r>
      <w:proofErr w:type="gramEnd"/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>a Comunidade Europeia do Carvão e do Aço</w:t>
      </w:r>
    </w:p>
    <w:p w14:paraId="6C521F96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  <w:lang w:eastAsia="zh-CN"/>
        </w:rPr>
        <w:t>(0,5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>a) Investimentos em infraestrutura sustentável nos BRICS.</w:t>
      </w:r>
    </w:p>
    <w:p w14:paraId="2592B23B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  <w:lang w:eastAsia="zh-CN"/>
        </w:rPr>
        <w:t>(1,0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 xml:space="preserve">A China é o maior parceiro econômico do Brasil desde 2009; são ambos membros fundadores dos BRICS; a China investe em projetos de infraestrutura no Brasil; etc. </w:t>
      </w:r>
    </w:p>
    <w:p w14:paraId="07CC5B47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9. 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(1,0) </w:t>
      </w:r>
      <w:r w:rsidRPr="002D7F4A">
        <w:rPr>
          <w:rFonts w:ascii="Arial" w:hAnsi="Arial" w:cs="Arial"/>
          <w:sz w:val="22"/>
          <w:szCs w:val="22"/>
        </w:rPr>
        <w:t>Política: país governado pelo Partido Comunista Chinês (</w:t>
      </w:r>
      <w:proofErr w:type="spellStart"/>
      <w:r w:rsidRPr="002D7F4A">
        <w:rPr>
          <w:rFonts w:ascii="Arial" w:hAnsi="Arial" w:cs="Arial"/>
          <w:sz w:val="22"/>
          <w:szCs w:val="22"/>
        </w:rPr>
        <w:t>PCCh</w:t>
      </w:r>
      <w:proofErr w:type="spellEnd"/>
      <w:r w:rsidRPr="002D7F4A">
        <w:rPr>
          <w:rFonts w:ascii="Arial" w:hAnsi="Arial" w:cs="Arial"/>
          <w:sz w:val="22"/>
          <w:szCs w:val="22"/>
        </w:rPr>
        <w:t>), que mantém a ditadura desde os tempos de socialismo.</w:t>
      </w:r>
    </w:p>
    <w:p w14:paraId="45D65E1A" w14:textId="77777777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Econômica: é um país com economia voltada para a produção para o mercado externo, possui multinacionais estrangeiras em seu território, possui multinacionais próprias em outros territórios, disputa a hegemonia econômica mundial com os EUA, etc. </w:t>
      </w:r>
    </w:p>
    <w:p w14:paraId="4BE4E4D6" w14:textId="14FB537D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10. a) </w:t>
      </w:r>
      <w:r>
        <w:rPr>
          <w:rFonts w:ascii="Arial" w:hAnsi="Arial" w:cs="Arial"/>
          <w:sz w:val="22"/>
          <w:szCs w:val="22"/>
          <w:lang w:eastAsia="zh-CN"/>
        </w:rPr>
        <w:t>(0</w:t>
      </w:r>
      <w:r>
        <w:rPr>
          <w:rFonts w:ascii="Arial" w:hAnsi="Arial" w:cs="Arial"/>
          <w:sz w:val="22"/>
          <w:szCs w:val="22"/>
          <w:lang w:eastAsia="zh-CN"/>
        </w:rPr>
        <w:t>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>Benelux era uma área de livre comércio com intuito de integração econômica e redução de taxas alfandegárias entre Bélgica, Holanda e Luxemburgo.</w:t>
      </w:r>
    </w:p>
    <w:p w14:paraId="272BB3F8" w14:textId="08BEA82C" w:rsidR="00290294" w:rsidRDefault="00290294" w:rsidP="00290294">
      <w:pPr>
        <w:jc w:val="both"/>
        <w:rPr>
          <w:rFonts w:ascii="Arial" w:hAnsi="Arial" w:cs="Arial"/>
          <w:sz w:val="22"/>
          <w:szCs w:val="22"/>
        </w:rPr>
      </w:pPr>
      <w:r w:rsidRPr="002D7F4A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  <w:lang w:eastAsia="zh-CN"/>
        </w:rPr>
        <w:t>(0,5</w:t>
      </w:r>
      <w:r w:rsidRPr="002D7F4A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2D7F4A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2D7F4A">
        <w:rPr>
          <w:rFonts w:ascii="Arial" w:hAnsi="Arial" w:cs="Arial"/>
          <w:sz w:val="22"/>
          <w:szCs w:val="22"/>
        </w:rPr>
        <w:t>Brexit</w:t>
      </w:r>
      <w:proofErr w:type="spellEnd"/>
      <w:r w:rsidRPr="002D7F4A">
        <w:rPr>
          <w:rFonts w:ascii="Arial" w:hAnsi="Arial" w:cs="Arial"/>
          <w:sz w:val="22"/>
          <w:szCs w:val="22"/>
        </w:rPr>
        <w:t xml:space="preserve"> prometia acabar com o desemprego; aumentar o rigor contra os imigrantes e destinar maiores investimentos no Reino Unido, que anteriormente eram voltados para a União Europeia. </w:t>
      </w:r>
    </w:p>
    <w:p w14:paraId="15465796" w14:textId="46697FBA" w:rsidR="00290294" w:rsidRPr="002D7F4A" w:rsidRDefault="00290294" w:rsidP="00290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(0,5) Principais justificativas: Altos gastos do R. Unido na UE que não eram convertidos em investimentos no R. Unido; cobrança de maior rigor contra a entrada de imigrantes; e desemprego e baixos índices econômicos no R. Unido que eram atribuídos à participação do país na UE</w:t>
      </w:r>
    </w:p>
    <w:p w14:paraId="5FF59E90" w14:textId="77777777" w:rsidR="00AC6750" w:rsidRDefault="00AC6750"/>
    <w:sectPr w:rsidR="00AC6750" w:rsidSect="00290294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4"/>
    <w:rsid w:val="00290294"/>
    <w:rsid w:val="00A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8DB6"/>
  <w15:chartTrackingRefBased/>
  <w15:docId w15:val="{2738D675-57EF-4484-94C2-CB07AA0D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1</cp:revision>
  <dcterms:created xsi:type="dcterms:W3CDTF">2024-09-27T15:14:00Z</dcterms:created>
  <dcterms:modified xsi:type="dcterms:W3CDTF">2024-09-27T15:21:00Z</dcterms:modified>
</cp:coreProperties>
</file>