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577639D7" w:rsidR="00851408" w:rsidRPr="00F42BBD" w:rsidRDefault="006B1232" w:rsidP="00642748">
      <w:pPr>
        <w:pStyle w:val="Ttulo1"/>
        <w:spacing w:line="360" w:lineRule="auto"/>
        <w:rPr>
          <w:sz w:val="24"/>
          <w:szCs w:val="24"/>
        </w:rPr>
      </w:pPr>
      <w:r w:rsidRPr="00F42BBD"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F42BBD">
        <w:rPr>
          <w:szCs w:val="28"/>
        </w:rPr>
        <w:t>CEMP –</w:t>
      </w:r>
      <w:r w:rsidR="003A4F49" w:rsidRPr="00F42BBD">
        <w:rPr>
          <w:szCs w:val="28"/>
        </w:rPr>
        <w:t xml:space="preserve"> </w:t>
      </w:r>
      <w:r w:rsidR="00642748" w:rsidRPr="00F42BBD">
        <w:rPr>
          <w:szCs w:val="28"/>
        </w:rPr>
        <w:t>Ensino Médio</w:t>
      </w:r>
    </w:p>
    <w:p w14:paraId="4B616A5A" w14:textId="37408117" w:rsidR="00851408" w:rsidRPr="00F42BBD" w:rsidRDefault="006F788D" w:rsidP="006F788D">
      <w:pPr>
        <w:spacing w:line="360" w:lineRule="auto"/>
        <w:ind w:firstLine="708"/>
        <w:rPr>
          <w:b/>
        </w:rPr>
      </w:pPr>
      <w:r w:rsidRPr="00F42BBD">
        <w:rPr>
          <w:b/>
          <w:sz w:val="22"/>
          <w:szCs w:val="22"/>
        </w:rPr>
        <w:t xml:space="preserve">   </w:t>
      </w:r>
      <w:r w:rsidR="00005429" w:rsidRPr="00F42BBD">
        <w:rPr>
          <w:b/>
          <w:sz w:val="22"/>
          <w:szCs w:val="22"/>
        </w:rPr>
        <w:tab/>
      </w:r>
      <w:r w:rsidR="00851408" w:rsidRPr="00F42BBD">
        <w:rPr>
          <w:b/>
          <w:sz w:val="22"/>
          <w:szCs w:val="22"/>
        </w:rPr>
        <w:t>Nome:</w:t>
      </w:r>
      <w:r w:rsidR="00851408" w:rsidRPr="00F42BBD">
        <w:rPr>
          <w:b/>
        </w:rPr>
        <w:t xml:space="preserve"> ______________________________________</w:t>
      </w:r>
      <w:r w:rsidR="00DF7C83" w:rsidRPr="00F42BBD">
        <w:rPr>
          <w:b/>
        </w:rPr>
        <w:t>__________</w:t>
      </w:r>
      <w:r w:rsidR="00721740" w:rsidRPr="00F42BBD">
        <w:rPr>
          <w:b/>
        </w:rPr>
        <w:t>______</w:t>
      </w:r>
      <w:r w:rsidR="00D361D8" w:rsidRPr="00F42BBD">
        <w:rPr>
          <w:b/>
        </w:rPr>
        <w:t>_____</w:t>
      </w:r>
      <w:r w:rsidR="006212F7" w:rsidRPr="00F42BBD">
        <w:rPr>
          <w:b/>
        </w:rPr>
        <w:t>____</w:t>
      </w:r>
      <w:r w:rsidR="00D361D8" w:rsidRPr="00F42BBD">
        <w:rPr>
          <w:b/>
        </w:rPr>
        <w:t>__Data</w:t>
      </w:r>
      <w:r w:rsidR="00005429" w:rsidRPr="00F42BBD">
        <w:rPr>
          <w:b/>
        </w:rPr>
        <w:t xml:space="preserve">:  </w:t>
      </w:r>
      <w:r w:rsidR="006212F7" w:rsidRPr="00F42BBD">
        <w:rPr>
          <w:b/>
        </w:rPr>
        <w:t xml:space="preserve">  </w:t>
      </w:r>
      <w:r w:rsidR="00005429" w:rsidRPr="00F42BBD">
        <w:rPr>
          <w:b/>
        </w:rPr>
        <w:t xml:space="preserve">  </w:t>
      </w:r>
      <w:r w:rsidR="00C6084C" w:rsidRPr="00F42BBD">
        <w:rPr>
          <w:b/>
        </w:rPr>
        <w:t>/</w:t>
      </w:r>
      <w:r w:rsidR="00ED7E70" w:rsidRPr="00F42BBD">
        <w:rPr>
          <w:b/>
        </w:rPr>
        <w:t xml:space="preserve">   </w:t>
      </w:r>
      <w:r w:rsidR="006212F7" w:rsidRPr="00F42BBD">
        <w:rPr>
          <w:b/>
        </w:rPr>
        <w:t xml:space="preserve">  </w:t>
      </w:r>
      <w:r w:rsidR="00D361D8" w:rsidRPr="00F42BBD">
        <w:rPr>
          <w:b/>
        </w:rPr>
        <w:t xml:space="preserve"> </w:t>
      </w:r>
      <w:r w:rsidR="00C6084C" w:rsidRPr="00F42BBD">
        <w:rPr>
          <w:b/>
        </w:rPr>
        <w:t>/</w:t>
      </w:r>
      <w:proofErr w:type="gramStart"/>
      <w:r w:rsidR="006C2B95" w:rsidRPr="00F42BBD">
        <w:rPr>
          <w:b/>
        </w:rPr>
        <w:t xml:space="preserve"> </w:t>
      </w:r>
      <w:r w:rsidR="006212F7" w:rsidRPr="00F42BBD">
        <w:rPr>
          <w:b/>
        </w:rPr>
        <w:t xml:space="preserve"> </w:t>
      </w:r>
      <w:proofErr w:type="gramEnd"/>
      <w:r w:rsidR="006C2B95" w:rsidRPr="00F42BBD">
        <w:rPr>
          <w:b/>
        </w:rPr>
        <w:t>202</w:t>
      </w:r>
      <w:r w:rsidR="006B1232" w:rsidRPr="00F42BBD">
        <w:rPr>
          <w:b/>
        </w:rPr>
        <w:t>4</w:t>
      </w:r>
    </w:p>
    <w:p w14:paraId="7339EA37" w14:textId="17B8F035" w:rsidR="00851408" w:rsidRPr="00F42BBD" w:rsidRDefault="006F788D" w:rsidP="006F788D">
      <w:pPr>
        <w:ind w:firstLine="708"/>
        <w:rPr>
          <w:b/>
        </w:rPr>
      </w:pPr>
      <w:r w:rsidRPr="00F42BBD">
        <w:rPr>
          <w:b/>
          <w:sz w:val="22"/>
          <w:szCs w:val="22"/>
        </w:rPr>
        <w:t xml:space="preserve">  </w:t>
      </w:r>
      <w:r w:rsidR="00005429" w:rsidRPr="00F42BBD">
        <w:rPr>
          <w:b/>
          <w:sz w:val="22"/>
          <w:szCs w:val="22"/>
        </w:rPr>
        <w:tab/>
      </w:r>
      <w:r w:rsidRPr="00F42BBD">
        <w:rPr>
          <w:b/>
          <w:sz w:val="22"/>
          <w:szCs w:val="22"/>
        </w:rPr>
        <w:t xml:space="preserve"> </w:t>
      </w:r>
      <w:r w:rsidR="0063138E" w:rsidRPr="00F42BBD">
        <w:rPr>
          <w:b/>
          <w:sz w:val="22"/>
          <w:szCs w:val="22"/>
        </w:rPr>
        <w:t>Professor</w:t>
      </w:r>
      <w:r w:rsidR="00851408" w:rsidRPr="00F42BBD">
        <w:rPr>
          <w:b/>
          <w:sz w:val="22"/>
          <w:szCs w:val="22"/>
        </w:rPr>
        <w:t>:</w:t>
      </w:r>
      <w:r w:rsidR="00DD7079" w:rsidRPr="00F42BBD">
        <w:rPr>
          <w:b/>
          <w:sz w:val="22"/>
          <w:szCs w:val="22"/>
        </w:rPr>
        <w:t xml:space="preserve"> </w:t>
      </w:r>
      <w:r w:rsidR="00C408A7" w:rsidRPr="00F42BBD">
        <w:rPr>
          <w:b/>
          <w:sz w:val="22"/>
          <w:szCs w:val="22"/>
        </w:rPr>
        <w:t>DANIEL</w:t>
      </w:r>
      <w:r w:rsidR="003A4F49" w:rsidRPr="00F42BBD">
        <w:rPr>
          <w:b/>
        </w:rPr>
        <w:tab/>
      </w:r>
      <w:r w:rsidR="00ED7E70" w:rsidRPr="00F42BBD">
        <w:rPr>
          <w:b/>
        </w:rPr>
        <w:tab/>
      </w:r>
      <w:proofErr w:type="gramStart"/>
      <w:r w:rsidR="00865216" w:rsidRPr="00F42BBD">
        <w:rPr>
          <w:b/>
        </w:rPr>
        <w:t xml:space="preserve">   </w:t>
      </w:r>
      <w:proofErr w:type="gramEnd"/>
      <w:r w:rsidR="00C408A7" w:rsidRPr="00F42BBD">
        <w:rPr>
          <w:b/>
        </w:rPr>
        <w:t>2</w:t>
      </w:r>
      <w:r w:rsidR="00851408" w:rsidRPr="00F42BBD">
        <w:rPr>
          <w:b/>
          <w:sz w:val="22"/>
          <w:szCs w:val="22"/>
          <w:u w:val="single"/>
          <w:vertAlign w:val="superscript"/>
        </w:rPr>
        <w:t>o</w:t>
      </w:r>
      <w:r w:rsidR="00851408" w:rsidRPr="00F42BBD">
        <w:rPr>
          <w:b/>
          <w:sz w:val="22"/>
          <w:szCs w:val="22"/>
        </w:rPr>
        <w:t xml:space="preserve"> A</w:t>
      </w:r>
      <w:r w:rsidR="00721740" w:rsidRPr="00F42BBD">
        <w:rPr>
          <w:b/>
          <w:sz w:val="22"/>
          <w:szCs w:val="22"/>
        </w:rPr>
        <w:t>no</w:t>
      </w:r>
      <w:r w:rsidR="00851408" w:rsidRPr="00F42BBD">
        <w:rPr>
          <w:b/>
          <w:sz w:val="22"/>
          <w:szCs w:val="22"/>
        </w:rPr>
        <w:t xml:space="preserve"> do Ensino</w:t>
      </w:r>
      <w:r w:rsidR="005C76BC" w:rsidRPr="00F42BBD">
        <w:rPr>
          <w:b/>
          <w:sz w:val="22"/>
          <w:szCs w:val="22"/>
        </w:rPr>
        <w:t xml:space="preserve"> </w:t>
      </w:r>
      <w:r w:rsidR="00721740" w:rsidRPr="00F42BBD">
        <w:rPr>
          <w:b/>
          <w:sz w:val="22"/>
          <w:szCs w:val="22"/>
        </w:rPr>
        <w:t>Médio</w:t>
      </w:r>
      <w:r w:rsidR="0075187A" w:rsidRPr="00F42BBD">
        <w:rPr>
          <w:b/>
          <w:sz w:val="22"/>
          <w:szCs w:val="22"/>
        </w:rPr>
        <w:t xml:space="preserve"> </w:t>
      </w:r>
      <w:r w:rsidR="00865216" w:rsidRPr="00F42BBD">
        <w:rPr>
          <w:b/>
          <w:sz w:val="22"/>
          <w:szCs w:val="22"/>
        </w:rPr>
        <w:t xml:space="preserve">               </w:t>
      </w:r>
      <w:r w:rsidR="00374337" w:rsidRPr="00F42BBD">
        <w:rPr>
          <w:b/>
          <w:sz w:val="22"/>
          <w:szCs w:val="22"/>
        </w:rPr>
        <w:t>Turma: _</w:t>
      </w:r>
      <w:r w:rsidR="00C6084C" w:rsidRPr="00F42BBD">
        <w:rPr>
          <w:b/>
          <w:sz w:val="22"/>
          <w:szCs w:val="22"/>
        </w:rPr>
        <w:t>___</w:t>
      </w:r>
      <w:r w:rsidR="00374337" w:rsidRPr="00F42BBD">
        <w:rPr>
          <w:b/>
          <w:sz w:val="22"/>
          <w:szCs w:val="22"/>
        </w:rPr>
        <w:t>_</w:t>
      </w:r>
    </w:p>
    <w:p w14:paraId="0FDB32EC" w14:textId="32C7AA4F" w:rsidR="00A710D3" w:rsidRPr="00F42BBD" w:rsidRDefault="009176D1" w:rsidP="00260050">
      <w:pPr>
        <w:spacing w:line="360" w:lineRule="auto"/>
        <w:jc w:val="center"/>
      </w:pPr>
      <w:r w:rsidRPr="00F42BB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2AD55282" w:rsidR="00260050" w:rsidRPr="006B1232" w:rsidRDefault="00C408A7" w:rsidP="00C408A7">
                              <w:pPr>
                                <w:jc w:val="center"/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EXERCÍCIOS COMPLEMENTARES – CONTEÚDOS DE </w:t>
                              </w:r>
                              <w:r w:rsidR="004D3B8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TESTE DO 3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° BIM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t28IA&#10;AADaAAAADwAAAGRycy9kb3ducmV2LnhtbESPzWrDMBCE74W+g9hCbo3sQkpxo5gkJJBDKCQx9LpY&#10;W8vUWhlJ9c/bR4VCj8PMfMOsy8l2YiAfWscK8mUGgrh2uuVGQXU7Pr+BCBFZY+eYFMwUoNw8Pqyx&#10;0G7kCw3X2IgE4VCgAhNjX0gZakMWw9L1xMn7ct5iTNI3UnscE9x28iXLXqXFltOCwZ72hurv649V&#10;YM/Z5+XjkJtqrgaM823neZyUWjxN23cQkab4H/5rn7SCFfxeS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63bwgAAANoAAAAPAAAAAAAAAAAAAAAAAJgCAABkcnMvZG93&#10;bnJldi54bWxQSwUGAAAAAAQABAD1AAAAhwMAAAAA&#10;" filled="f" stroked="f" strokeweight="1.5pt">
                  <v:textbox>
                    <w:txbxContent>
                      <w:p w14:paraId="5CBFE331" w14:textId="2AD55282" w:rsidR="00260050" w:rsidRPr="006B1232" w:rsidRDefault="00C408A7" w:rsidP="00C408A7">
                        <w:pPr>
                          <w:jc w:val="center"/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EXERCÍCIOS COMPLEMENTARES – CONTEÚDOS DE </w:t>
                        </w:r>
                        <w:r w:rsidR="004D3B8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TESTE DO 3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° BIM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90" o:spid="_x0000_s1029" style="position:absolute;visibility:visible;mso-wrap-style:square" from="500,3087" to="11300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/v:group>
            </w:pict>
          </mc:Fallback>
        </mc:AlternateContent>
      </w:r>
    </w:p>
    <w:p w14:paraId="673D53C9" w14:textId="245650DD" w:rsidR="00260050" w:rsidRPr="00F42BBD" w:rsidRDefault="00260050" w:rsidP="00260050">
      <w:pPr>
        <w:spacing w:line="360" w:lineRule="auto"/>
        <w:jc w:val="center"/>
      </w:pPr>
    </w:p>
    <w:p w14:paraId="36C42DDF" w14:textId="77777777" w:rsidR="003601B9" w:rsidRPr="00F42BBD" w:rsidRDefault="003601B9" w:rsidP="00AE06D7">
      <w:pPr>
        <w:tabs>
          <w:tab w:val="num" w:pos="720"/>
        </w:tabs>
        <w:jc w:val="center"/>
        <w:rPr>
          <w:b/>
        </w:rPr>
        <w:sectPr w:rsidR="003601B9" w:rsidRPr="00F42BBD" w:rsidSect="005B3E22">
          <w:footerReference w:type="default" r:id="rId10"/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7199BE6" w14:textId="427B7854" w:rsidR="00AD0F37" w:rsidRDefault="00AD0F37" w:rsidP="00B53E7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B3E041B" w14:textId="3208C3AA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>1</w:t>
      </w:r>
      <w:r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r w:rsidRPr="00412C05">
        <w:rPr>
          <w:rFonts w:ascii="Arial" w:hAnsi="Arial" w:cs="Arial"/>
          <w:sz w:val="22"/>
          <w:szCs w:val="22"/>
          <w:lang w:eastAsia="zh-CN"/>
        </w:rPr>
        <w:t>Unip</w:t>
      </w:r>
      <w:proofErr w:type="spellEnd"/>
      <w:r w:rsidRPr="00412C05">
        <w:rPr>
          <w:rFonts w:ascii="Arial" w:hAnsi="Arial" w:cs="Arial"/>
          <w:sz w:val="22"/>
          <w:szCs w:val="22"/>
          <w:lang w:eastAsia="zh-CN"/>
        </w:rPr>
        <w:t xml:space="preserve"> - Medicina 2023)</w:t>
      </w:r>
      <w:proofErr w:type="gramStart"/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  <w:proofErr w:type="gramEnd"/>
      <w:r w:rsidRPr="00412C05">
        <w:rPr>
          <w:rFonts w:ascii="Arial" w:hAnsi="Arial" w:cs="Arial"/>
          <w:sz w:val="22"/>
          <w:szCs w:val="22"/>
        </w:rPr>
        <w:t>A globalização possui dimensões econômicas, políticas e culturais. Para alguns, a globalização é primordialmente econômica, envolvendo operações financeiras, comércio, produção e consumo global, uma divisão global do trabalho e um sistema financeiro global.</w:t>
      </w:r>
    </w:p>
    <w:p w14:paraId="55304079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 w:rsidRPr="00412C05">
        <w:rPr>
          <w:rFonts w:ascii="Arial" w:hAnsi="Arial" w:cs="Arial"/>
          <w:sz w:val="14"/>
          <w:szCs w:val="14"/>
        </w:rPr>
        <w:t xml:space="preserve">(Anthony </w:t>
      </w:r>
      <w:proofErr w:type="spellStart"/>
      <w:r w:rsidRPr="00412C05">
        <w:rPr>
          <w:rFonts w:ascii="Arial" w:hAnsi="Arial" w:cs="Arial"/>
          <w:sz w:val="14"/>
          <w:szCs w:val="14"/>
        </w:rPr>
        <w:t>Giddens</w:t>
      </w:r>
      <w:proofErr w:type="spellEnd"/>
      <w:r w:rsidRPr="00412C05">
        <w:rPr>
          <w:rFonts w:ascii="Arial" w:hAnsi="Arial" w:cs="Arial"/>
          <w:sz w:val="14"/>
          <w:szCs w:val="14"/>
        </w:rPr>
        <w:t xml:space="preserve"> e Philip W. Sutton. </w:t>
      </w:r>
      <w:r w:rsidRPr="00412C05">
        <w:rPr>
          <w:rFonts w:ascii="Arial" w:hAnsi="Arial" w:cs="Arial"/>
          <w:i/>
          <w:iCs/>
          <w:sz w:val="14"/>
          <w:szCs w:val="14"/>
        </w:rPr>
        <w:t>Conceitos essenciais da Sociologia</w:t>
      </w:r>
      <w:r w:rsidRPr="00412C05">
        <w:rPr>
          <w:rFonts w:ascii="Arial" w:hAnsi="Arial" w:cs="Arial"/>
          <w:sz w:val="14"/>
          <w:szCs w:val="14"/>
        </w:rPr>
        <w:t>, 2016.</w:t>
      </w:r>
      <w:proofErr w:type="gramStart"/>
      <w:r w:rsidRPr="00412C05">
        <w:rPr>
          <w:rFonts w:ascii="Arial" w:hAnsi="Arial" w:cs="Arial"/>
          <w:sz w:val="14"/>
          <w:szCs w:val="14"/>
        </w:rPr>
        <w:t>)</w:t>
      </w:r>
      <w:proofErr w:type="gramEnd"/>
    </w:p>
    <w:p w14:paraId="1DD167B7" w14:textId="77777777" w:rsidR="004D3B88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O excerto sugere que o conceito de globalização é objeto de debates e controvérsias. Entendida na sua dimensão mais geral, a globalização é um processo </w:t>
      </w:r>
      <w:proofErr w:type="gramStart"/>
      <w:r w:rsidRPr="00412C05">
        <w:rPr>
          <w:rFonts w:ascii="Arial" w:hAnsi="Arial" w:cs="Arial"/>
          <w:sz w:val="22"/>
          <w:szCs w:val="22"/>
        </w:rPr>
        <w:t>de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 </w:t>
      </w:r>
    </w:p>
    <w:p w14:paraId="154717DE" w14:textId="77777777" w:rsidR="00412C05" w:rsidRP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849D3E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superação da disputa por mercados entre as corporações capitalistas a partir da Revolução Industrial.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B910B1F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fortalecimento do Estado-nação na regulamentação dos fluxos comerciais internacionais.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6647590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sz w:val="22"/>
          <w:szCs w:val="22"/>
        </w:rPr>
        <w:t xml:space="preserve">integração supranacional de países com vistas à proteção de interesses culturais regionais.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6FECBDD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intensificação de atividades humanas favorecidas pelo advento de novas tecnologias da informação.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17DF99C1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igualização econômica progressiva das populações humanas geograficamente dispersas.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66250076" w14:textId="77777777" w:rsidR="00FE2A3D" w:rsidRPr="00412C05" w:rsidRDefault="00FE2A3D" w:rsidP="00412C0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B7B0EB6" w14:textId="20D45730" w:rsidR="004D3B88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2</w:t>
      </w:r>
      <w:r w:rsidR="004D3B88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(Albert Einstein - Medicina 2023)</w:t>
      </w:r>
      <w:proofErr w:type="gramStart"/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  <w:proofErr w:type="gramEnd"/>
      <w:r w:rsidR="004D3B88" w:rsidRPr="00412C05">
        <w:rPr>
          <w:rFonts w:ascii="Arial" w:hAnsi="Arial" w:cs="Arial"/>
          <w:sz w:val="22"/>
          <w:szCs w:val="22"/>
        </w:rPr>
        <w:t>Podemos extrair da expressão “guerra fiscal” a disputa praticada pelos entes federativos, por meio de ações concorrenciais extremas e não cooperativas no que diz respeito à gestão de suas políticas públicas, de modo a favorecer empresas interessadas em investir ou transferir investimentos para suas bases territoriais. Na “guerra fiscal”, os entes federativos concedem benefícios fiscais, financeiros e de infraestrutura às empresas.</w:t>
      </w:r>
    </w:p>
    <w:p w14:paraId="6AF04577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 w:rsidRPr="00412C05">
        <w:rPr>
          <w:rFonts w:ascii="Arial" w:hAnsi="Arial" w:cs="Arial"/>
          <w:sz w:val="14"/>
          <w:szCs w:val="14"/>
        </w:rPr>
        <w:t>(</w:t>
      </w:r>
      <w:proofErr w:type="gramStart"/>
      <w:r w:rsidRPr="00412C05">
        <w:rPr>
          <w:rFonts w:ascii="Arial" w:hAnsi="Arial" w:cs="Arial"/>
          <w:sz w:val="14"/>
          <w:szCs w:val="14"/>
        </w:rPr>
        <w:t>https</w:t>
      </w:r>
      <w:proofErr w:type="gramEnd"/>
      <w:r w:rsidRPr="00412C05">
        <w:rPr>
          <w:rFonts w:ascii="Arial" w:hAnsi="Arial" w:cs="Arial"/>
          <w:sz w:val="14"/>
          <w:szCs w:val="14"/>
        </w:rPr>
        <w:t>://ipojur.com.br. Adaptado.)</w:t>
      </w:r>
    </w:p>
    <w:p w14:paraId="13393F03" w14:textId="77777777" w:rsidR="004D3B88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Considerando o excerto, a expressão “guerra fiscal” </w:t>
      </w:r>
      <w:proofErr w:type="gramStart"/>
      <w:r w:rsidRPr="00412C05">
        <w:rPr>
          <w:rFonts w:ascii="Arial" w:hAnsi="Arial" w:cs="Arial"/>
          <w:sz w:val="22"/>
          <w:szCs w:val="22"/>
        </w:rPr>
        <w:t>estimula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 </w:t>
      </w:r>
    </w:p>
    <w:p w14:paraId="298B8B57" w14:textId="77777777" w:rsidR="00412C05" w:rsidRP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331E66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o avanço das privatizações.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221ED65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o processo de </w:t>
      </w:r>
      <w:proofErr w:type="spellStart"/>
      <w:r w:rsidRPr="00412C05">
        <w:rPr>
          <w:rFonts w:ascii="Arial" w:hAnsi="Arial" w:cs="Arial"/>
          <w:sz w:val="22"/>
          <w:szCs w:val="22"/>
        </w:rPr>
        <w:t>gentrificação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A9D1A54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sz w:val="22"/>
          <w:szCs w:val="22"/>
        </w:rPr>
        <w:t xml:space="preserve">a industrialização tardia.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6807CBCD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a centralização da rede urbana.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0E2255A9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a desconcentração industrial.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563CF43B" w14:textId="77777777" w:rsidR="004D3B88" w:rsidRPr="00412C05" w:rsidRDefault="004D3B88" w:rsidP="00412C05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58350A03" w14:textId="5A3A99E9" w:rsidR="004D3B88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3</w:t>
      </w:r>
      <w:r w:rsidR="004D3B88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proofErr w:type="gramStart"/>
      <w:r w:rsidR="004D3B88" w:rsidRPr="00412C05">
        <w:rPr>
          <w:rFonts w:ascii="Arial" w:hAnsi="Arial" w:cs="Arial"/>
          <w:sz w:val="22"/>
          <w:szCs w:val="22"/>
          <w:lang w:eastAsia="zh-CN"/>
        </w:rPr>
        <w:t>Uea</w:t>
      </w:r>
      <w:proofErr w:type="gramEnd"/>
      <w:r w:rsidR="004D3B88" w:rsidRPr="00412C05">
        <w:rPr>
          <w:rFonts w:ascii="Arial" w:hAnsi="Arial" w:cs="Arial"/>
          <w:sz w:val="22"/>
          <w:szCs w:val="22"/>
          <w:lang w:eastAsia="zh-CN"/>
        </w:rPr>
        <w:t>-sis</w:t>
      </w:r>
      <w:proofErr w:type="spellEnd"/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2 2023)  </w:t>
      </w:r>
      <w:r w:rsidR="004D3B88" w:rsidRPr="00412C05">
        <w:rPr>
          <w:rFonts w:ascii="Arial" w:hAnsi="Arial" w:cs="Arial"/>
          <w:sz w:val="22"/>
          <w:szCs w:val="22"/>
        </w:rPr>
        <w:t xml:space="preserve">O neoliberalismo surgiu no século XX como um esforço para renovar o </w:t>
      </w:r>
      <w:r w:rsidR="004D3B88" w:rsidRPr="00412C05">
        <w:rPr>
          <w:rFonts w:ascii="Arial" w:hAnsi="Arial" w:cs="Arial"/>
          <w:sz w:val="22"/>
          <w:szCs w:val="22"/>
        </w:rPr>
        <w:lastRenderedPageBreak/>
        <w:t>liberalismo clássico. Apesar de existirem registros isolados de uso do termo desde o final do século XIX, é aceito que a adoção formal do termo em si remonta a um encontro de pensadores liberais ocorrido em Paris, no ano de 1938. No encontro, ficou definido que o conceito de neoliberalismo iria incorporar “a prioridade do mecanismo de preços, o livre empreendedorismo, a competição, e um Estado imparcial e forte”.</w:t>
      </w:r>
    </w:p>
    <w:p w14:paraId="4BD7A9A7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 w:rsidRPr="00412C05">
        <w:rPr>
          <w:rFonts w:ascii="Arial" w:hAnsi="Arial" w:cs="Arial"/>
          <w:sz w:val="14"/>
          <w:szCs w:val="14"/>
        </w:rPr>
        <w:t>(</w:t>
      </w:r>
      <w:proofErr w:type="gramStart"/>
      <w:r w:rsidRPr="00412C05">
        <w:rPr>
          <w:rFonts w:ascii="Arial" w:hAnsi="Arial" w:cs="Arial"/>
          <w:sz w:val="14"/>
          <w:szCs w:val="14"/>
        </w:rPr>
        <w:t>www.bbc.com,</w:t>
      </w:r>
      <w:proofErr w:type="gramEnd"/>
      <w:r w:rsidRPr="00412C05">
        <w:rPr>
          <w:rFonts w:ascii="Arial" w:hAnsi="Arial" w:cs="Arial"/>
          <w:sz w:val="14"/>
          <w:szCs w:val="14"/>
        </w:rPr>
        <w:t>16.01.2002)</w:t>
      </w:r>
    </w:p>
    <w:p w14:paraId="77FD737F" w14:textId="77777777" w:rsidR="004D3B88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Além das características citadas no excerto, outra característica das propostas neoliberais </w:t>
      </w:r>
      <w:proofErr w:type="gramStart"/>
      <w:r w:rsidRPr="00412C05">
        <w:rPr>
          <w:rFonts w:ascii="Arial" w:hAnsi="Arial" w:cs="Arial"/>
          <w:sz w:val="22"/>
          <w:szCs w:val="22"/>
        </w:rPr>
        <w:t>é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 </w:t>
      </w:r>
    </w:p>
    <w:p w14:paraId="696D45E5" w14:textId="77777777" w:rsidR="00412C05" w:rsidRP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44BD0E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a abertura econômica para a entrada de empresas estrangeiras.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515ADE8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a adoção do modelo industrial nacional e protecionista.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3BBD85BB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sz w:val="22"/>
          <w:szCs w:val="22"/>
        </w:rPr>
        <w:t xml:space="preserve">a geração de empregos por meio da receita pública.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0C038B6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o Estado como regulador da economia.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94C9FE5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a privatização de empresas estatais.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2B9EDEBF" w14:textId="77777777" w:rsidR="004D3B88" w:rsidRPr="00412C05" w:rsidRDefault="004D3B88" w:rsidP="00412C05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45A21E90" w14:textId="55C20D9F" w:rsidR="004D3B88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4</w:t>
      </w:r>
      <w:r w:rsidR="004D3B88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r w:rsidR="004D3B88" w:rsidRPr="00412C05">
        <w:rPr>
          <w:rFonts w:ascii="Arial" w:hAnsi="Arial" w:cs="Arial"/>
          <w:sz w:val="22"/>
          <w:szCs w:val="22"/>
          <w:lang w:eastAsia="zh-CN"/>
        </w:rPr>
        <w:t>Pucpr</w:t>
      </w:r>
      <w:proofErr w:type="spellEnd"/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Medicina 2019)</w:t>
      </w:r>
      <w:proofErr w:type="gramStart"/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  <w:proofErr w:type="gramEnd"/>
      <w:r w:rsidR="004D3B88" w:rsidRPr="00412C05">
        <w:rPr>
          <w:rFonts w:ascii="Arial" w:hAnsi="Arial" w:cs="Arial"/>
          <w:sz w:val="22"/>
          <w:szCs w:val="22"/>
        </w:rPr>
        <w:t>Leia o texto a seguir.</w:t>
      </w:r>
    </w:p>
    <w:p w14:paraId="777B471C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640458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12C05">
        <w:rPr>
          <w:rFonts w:ascii="Arial" w:hAnsi="Arial" w:cs="Arial"/>
          <w:b/>
          <w:bCs/>
          <w:sz w:val="22"/>
          <w:szCs w:val="22"/>
        </w:rPr>
        <w:t>“Na atual crise, o governo não é a solução de nossos problemas, o governo é o problema”.</w:t>
      </w:r>
    </w:p>
    <w:p w14:paraId="4B077185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>Ronald Reagan (Partido Republicano), em seu discurso de posse proferido em 20 de janeiro de 1981.</w:t>
      </w:r>
    </w:p>
    <w:p w14:paraId="779AD514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ED5156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>“Tampouco a pergunta diante de nós é se o mercado é uma força do bem ou do mal. Seu poder para gerar riqueza e expandir a liberdade não tem igual, mas esta crise nos fez lembrar que, sem um olhar atento, o mercado pode sair do controle – e que uma nação não pode prosperar por muito tempo se favorece apenas os prósperos”.</w:t>
      </w:r>
    </w:p>
    <w:p w14:paraId="70560776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69350D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>Barack Obama (Partido Democrata), em seu discurso de posse como presidente dos Estados Unidos, proferido no dia 20 de janeiro de 2009.</w:t>
      </w:r>
    </w:p>
    <w:p w14:paraId="1052B856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2"/>
          <w:szCs w:val="12"/>
        </w:rPr>
      </w:pPr>
      <w:r w:rsidRPr="00412C05">
        <w:rPr>
          <w:rFonts w:ascii="Arial" w:hAnsi="Arial" w:cs="Arial"/>
          <w:sz w:val="12"/>
          <w:szCs w:val="12"/>
        </w:rPr>
        <w:t xml:space="preserve">FONTE: SENE, Eustáquio de; MOREIRA, João Carlos. </w:t>
      </w:r>
      <w:r w:rsidRPr="00412C05">
        <w:rPr>
          <w:rFonts w:ascii="Arial" w:hAnsi="Arial" w:cs="Arial"/>
          <w:i/>
          <w:iCs/>
          <w:sz w:val="12"/>
          <w:szCs w:val="12"/>
        </w:rPr>
        <w:t>Geografia geral e do Brasil</w:t>
      </w:r>
      <w:r w:rsidRPr="00412C05">
        <w:rPr>
          <w:rFonts w:ascii="Arial" w:hAnsi="Arial" w:cs="Arial"/>
          <w:sz w:val="12"/>
          <w:szCs w:val="12"/>
        </w:rPr>
        <w:t xml:space="preserve">: espaço geográfico e globalização. 2. </w:t>
      </w:r>
      <w:proofErr w:type="gramStart"/>
      <w:r w:rsidRPr="00412C05">
        <w:rPr>
          <w:rFonts w:ascii="Arial" w:hAnsi="Arial" w:cs="Arial"/>
          <w:sz w:val="12"/>
          <w:szCs w:val="12"/>
        </w:rPr>
        <w:t>ed.</w:t>
      </w:r>
      <w:proofErr w:type="gramEnd"/>
      <w:r w:rsidRPr="00412C05">
        <w:rPr>
          <w:rFonts w:ascii="Arial" w:hAnsi="Arial" w:cs="Arial"/>
          <w:sz w:val="12"/>
          <w:szCs w:val="12"/>
        </w:rPr>
        <w:t xml:space="preserve"> reform. São Paulo: Scipione, 2013, p. 27-28.</w:t>
      </w:r>
    </w:p>
    <w:p w14:paraId="7C7140B7" w14:textId="77777777" w:rsidR="004D3B88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Os pronunciamentos fazem críticas a duas versões distintas do sistema capitalista, que são, respectivamente, </w:t>
      </w:r>
    </w:p>
    <w:p w14:paraId="201F525D" w14:textId="77777777" w:rsidR="00412C05" w:rsidRP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CCAA23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o </w:t>
      </w:r>
      <w:proofErr w:type="spellStart"/>
      <w:r w:rsidRPr="00412C05">
        <w:rPr>
          <w:rFonts w:ascii="Arial" w:hAnsi="Arial" w:cs="Arial"/>
          <w:color w:val="0070C0"/>
          <w:sz w:val="22"/>
          <w:szCs w:val="22"/>
        </w:rPr>
        <w:t>keynesianismo</w:t>
      </w:r>
      <w:proofErr w:type="spellEnd"/>
      <w:r w:rsidRPr="00412C05">
        <w:rPr>
          <w:rFonts w:ascii="Arial" w:hAnsi="Arial" w:cs="Arial"/>
          <w:color w:val="0070C0"/>
          <w:sz w:val="22"/>
          <w:szCs w:val="22"/>
        </w:rPr>
        <w:t xml:space="preserve"> e o neoliberalismo. 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09A7CBB9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o liberalismo e o neoliberalismo.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053F24DE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sz w:val="22"/>
          <w:szCs w:val="22"/>
        </w:rPr>
        <w:t xml:space="preserve">o liberalismo e a globalização.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62761603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o neoliberalismo e o </w:t>
      </w:r>
      <w:proofErr w:type="spellStart"/>
      <w:r w:rsidRPr="00412C05">
        <w:rPr>
          <w:rFonts w:ascii="Arial" w:hAnsi="Arial" w:cs="Arial"/>
          <w:sz w:val="22"/>
          <w:szCs w:val="22"/>
        </w:rPr>
        <w:t>keynesianismo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67376839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a globalização e o neoliberalismo.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DADD2FE" w14:textId="36B50120" w:rsidR="004D3B88" w:rsidRDefault="00300449" w:rsidP="00412C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lastRenderedPageBreak/>
        <w:t>5</w:t>
      </w:r>
      <w:r w:rsidR="004D3B88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gramStart"/>
      <w:r w:rsidR="004D3B88" w:rsidRPr="00412C05">
        <w:rPr>
          <w:rFonts w:ascii="Arial" w:hAnsi="Arial" w:cs="Arial"/>
          <w:sz w:val="22"/>
          <w:szCs w:val="22"/>
          <w:lang w:eastAsia="zh-CN"/>
        </w:rPr>
        <w:t>Unesp</w:t>
      </w:r>
      <w:proofErr w:type="gramEnd"/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2014)  </w:t>
      </w:r>
      <w:r w:rsidR="004D3B88" w:rsidRPr="00412C05">
        <w:rPr>
          <w:rFonts w:ascii="Arial" w:hAnsi="Arial" w:cs="Arial"/>
          <w:sz w:val="22"/>
          <w:szCs w:val="22"/>
        </w:rPr>
        <w:t xml:space="preserve">O processo de mundialização do sistema capitalista sempre esteve apoiado na difusão de políticas econômicas e na constituição de determinadas lógicas geopolíticas e geoeconômicas de organização do espaço mundial. Constituem-se em política econômica e em lógica capitalista de ordenamento do espaço mundial no período atual: </w:t>
      </w:r>
    </w:p>
    <w:p w14:paraId="6CA76A09" w14:textId="77777777" w:rsidR="00412C05" w:rsidRPr="00412C05" w:rsidRDefault="00412C05" w:rsidP="00412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842189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412C05">
        <w:rPr>
          <w:rFonts w:ascii="Arial" w:hAnsi="Arial" w:cs="Arial"/>
          <w:sz w:val="22"/>
          <w:szCs w:val="22"/>
        </w:rPr>
        <w:t>keynesianismo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 e o colonialismo.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68072E47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o desenvolvimentismo e o neocolonialismo.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6874BC2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o neoliberalismo e a globalização.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3F724158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o mercantilismo e a descolonização.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D41AE27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o liberalismo e o imperialismo.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1E6AF57" w14:textId="77777777" w:rsidR="004D3B88" w:rsidRPr="00412C05" w:rsidRDefault="004D3B88" w:rsidP="00412C0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1D45A539" w14:textId="61BB599A" w:rsidR="004D3B88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6</w:t>
      </w:r>
      <w:r w:rsidR="004D3B88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(Upe 2012)</w:t>
      </w:r>
      <w:proofErr w:type="gramStart"/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  <w:proofErr w:type="gramEnd"/>
      <w:r w:rsidR="004D3B88" w:rsidRPr="00412C05">
        <w:rPr>
          <w:rFonts w:ascii="Arial" w:hAnsi="Arial" w:cs="Arial"/>
          <w:bCs/>
          <w:sz w:val="22"/>
          <w:szCs w:val="22"/>
        </w:rPr>
        <w:t>Observe com atenção o organograma a seguir:</w:t>
      </w:r>
    </w:p>
    <w:p w14:paraId="13E04F1B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F4778A8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412C05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7566B01F" wp14:editId="7F7F7A69">
            <wp:extent cx="2219325" cy="11715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8134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32555E5" w14:textId="77777777" w:rsidR="004D3B88" w:rsidRPr="00412C05" w:rsidRDefault="004D3B88" w:rsidP="00412C0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12C05">
        <w:rPr>
          <w:rFonts w:ascii="Arial" w:hAnsi="Arial" w:cs="Arial"/>
          <w:bCs/>
          <w:sz w:val="22"/>
          <w:szCs w:val="22"/>
        </w:rPr>
        <w:t>O organograma acima exibe duas versões distintas do sistema capitalista, planejadas em diferentes épocas, intrínsecas à economia de mercado, contudo diferenciadas por características marcadas por oposições conjuntas. Sobre elas, analise os itens a seguir:</w:t>
      </w:r>
    </w:p>
    <w:p w14:paraId="7A5D2042" w14:textId="77777777" w:rsidR="004D3B88" w:rsidRPr="00412C05" w:rsidRDefault="004D3B88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1AB7DBC" w14:textId="77777777" w:rsidR="004D3B88" w:rsidRPr="00412C05" w:rsidRDefault="004D3B88" w:rsidP="00412C05">
      <w:pPr>
        <w:autoSpaceDE w:val="0"/>
        <w:autoSpaceDN w:val="0"/>
        <w:adjustRightInd w:val="0"/>
        <w:ind w:left="170" w:hanging="17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I. O </w:t>
      </w:r>
      <w:proofErr w:type="spellStart"/>
      <w:r w:rsidRPr="00412C05">
        <w:rPr>
          <w:rFonts w:ascii="Arial" w:hAnsi="Arial" w:cs="Arial"/>
          <w:sz w:val="22"/>
          <w:szCs w:val="22"/>
        </w:rPr>
        <w:t>Keynesianismo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 defende a ampla intervenção do Estado na economia, enquanto o Neoliberalismo aceita uma intervenção mínima do Estado na economia.</w:t>
      </w:r>
    </w:p>
    <w:p w14:paraId="0B037595" w14:textId="77777777" w:rsidR="004D3B88" w:rsidRPr="00412C05" w:rsidRDefault="004D3B88" w:rsidP="00412C05">
      <w:pPr>
        <w:autoSpaceDE w:val="0"/>
        <w:autoSpaceDN w:val="0"/>
        <w:adjustRightInd w:val="0"/>
        <w:ind w:left="227" w:hanging="227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II. O </w:t>
      </w:r>
      <w:proofErr w:type="spellStart"/>
      <w:r w:rsidRPr="00412C05">
        <w:rPr>
          <w:rFonts w:ascii="Arial" w:hAnsi="Arial" w:cs="Arial"/>
          <w:sz w:val="22"/>
          <w:szCs w:val="22"/>
        </w:rPr>
        <w:t>Keynesianismo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 é favorável ao aumento de gastos públicos, enquanto o Neoliberalismo estimula o Estado de bem-estar social.</w:t>
      </w:r>
    </w:p>
    <w:p w14:paraId="1EC29844" w14:textId="77777777" w:rsidR="004D3B88" w:rsidRPr="00412C05" w:rsidRDefault="004D3B88" w:rsidP="00412C0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III. O </w:t>
      </w:r>
      <w:proofErr w:type="spellStart"/>
      <w:r w:rsidRPr="00412C05">
        <w:rPr>
          <w:rFonts w:ascii="Arial" w:hAnsi="Arial" w:cs="Arial"/>
          <w:sz w:val="22"/>
          <w:szCs w:val="22"/>
        </w:rPr>
        <w:t>Keynesianismo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 propõe a geração de empregos por intermédio da receita pública, enquanto o Neoliberalismo defende a abertura econômica dos países.</w:t>
      </w:r>
    </w:p>
    <w:p w14:paraId="2A5838F4" w14:textId="77777777" w:rsidR="004D3B88" w:rsidRPr="00412C05" w:rsidRDefault="004D3B88" w:rsidP="00412C05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IV. O </w:t>
      </w:r>
      <w:proofErr w:type="spellStart"/>
      <w:r w:rsidRPr="00412C05">
        <w:rPr>
          <w:rFonts w:ascii="Arial" w:hAnsi="Arial" w:cs="Arial"/>
          <w:sz w:val="22"/>
          <w:szCs w:val="22"/>
        </w:rPr>
        <w:t>Keynesianismo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 critica o pensamento econômico clássico, enquanto o Neoliberalismo busca aplicar os princípios do liberalismo clássico.</w:t>
      </w:r>
    </w:p>
    <w:p w14:paraId="158DB0B9" w14:textId="77777777" w:rsidR="004D3B88" w:rsidRPr="00412C05" w:rsidRDefault="004D3B88" w:rsidP="00412C05">
      <w:pPr>
        <w:autoSpaceDE w:val="0"/>
        <w:autoSpaceDN w:val="0"/>
        <w:adjustRightInd w:val="0"/>
        <w:ind w:left="227" w:hanging="227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V. O </w:t>
      </w:r>
      <w:proofErr w:type="spellStart"/>
      <w:r w:rsidRPr="00412C05">
        <w:rPr>
          <w:rFonts w:ascii="Arial" w:hAnsi="Arial" w:cs="Arial"/>
          <w:sz w:val="22"/>
          <w:szCs w:val="22"/>
        </w:rPr>
        <w:t>Keynesianismo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 critica o princípio da “mão invisível”, enquanto o Neoliberalismo critica a privatização de estatais.</w:t>
      </w:r>
    </w:p>
    <w:p w14:paraId="77C17901" w14:textId="77777777" w:rsidR="004D3B88" w:rsidRPr="00412C05" w:rsidRDefault="004D3B88" w:rsidP="00412C05">
      <w:pPr>
        <w:widowControl w:val="0"/>
        <w:autoSpaceDE w:val="0"/>
        <w:autoSpaceDN w:val="0"/>
        <w:adjustRightInd w:val="0"/>
        <w:ind w:left="227" w:hanging="227"/>
        <w:jc w:val="both"/>
        <w:rPr>
          <w:rFonts w:ascii="Arial" w:hAnsi="Arial" w:cs="Arial"/>
          <w:sz w:val="22"/>
          <w:szCs w:val="22"/>
        </w:rPr>
      </w:pPr>
    </w:p>
    <w:p w14:paraId="544C065C" w14:textId="77777777" w:rsidR="004D3B88" w:rsidRPr="00412C05" w:rsidRDefault="004D3B88" w:rsidP="00412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>Apenas está correto</w:t>
      </w:r>
      <w:r w:rsidRPr="00412C0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2C05">
        <w:rPr>
          <w:rFonts w:ascii="Arial" w:hAnsi="Arial" w:cs="Arial"/>
          <w:sz w:val="22"/>
          <w:szCs w:val="22"/>
        </w:rPr>
        <w:t xml:space="preserve">o que se afirma em </w:t>
      </w:r>
    </w:p>
    <w:p w14:paraId="6D9BDA92" w14:textId="77777777" w:rsid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039CDFF3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I.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34482FAA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III.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059640C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sz w:val="22"/>
          <w:szCs w:val="22"/>
        </w:rPr>
        <w:t xml:space="preserve">I e II.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06011A7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I, III e IV.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5091FFB8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>I, II, III e V.</w:t>
      </w:r>
      <w:proofErr w:type="gramStart"/>
      <w:r w:rsidRPr="00412C05">
        <w:rPr>
          <w:rFonts w:ascii="Arial" w:hAnsi="Arial" w:cs="Arial"/>
          <w:sz w:val="22"/>
          <w:szCs w:val="22"/>
        </w:rPr>
        <w:t xml:space="preserve">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7DC0610" w14:textId="33FC8373" w:rsidR="004D3B88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  <w:lang w:eastAsia="zh-CN"/>
        </w:rPr>
        <w:lastRenderedPageBreak/>
        <w:t>7</w:t>
      </w:r>
      <w:r w:rsidR="004D3B88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proofErr w:type="gramStart"/>
      <w:r w:rsidR="004D3B88" w:rsidRPr="00412C05">
        <w:rPr>
          <w:rFonts w:ascii="Arial" w:hAnsi="Arial" w:cs="Arial"/>
          <w:sz w:val="22"/>
          <w:szCs w:val="22"/>
          <w:lang w:eastAsia="zh-CN"/>
        </w:rPr>
        <w:t>Ufpr</w:t>
      </w:r>
      <w:proofErr w:type="spellEnd"/>
      <w:proofErr w:type="gramEnd"/>
      <w:r w:rsidR="004D3B88" w:rsidRPr="00412C05">
        <w:rPr>
          <w:rFonts w:ascii="Arial" w:hAnsi="Arial" w:cs="Arial"/>
          <w:sz w:val="22"/>
          <w:szCs w:val="22"/>
          <w:lang w:eastAsia="zh-CN"/>
        </w:rPr>
        <w:t xml:space="preserve"> 2024)  </w:t>
      </w:r>
      <w:r w:rsidR="004D3B88" w:rsidRPr="00412C05">
        <w:rPr>
          <w:rFonts w:ascii="Arial" w:hAnsi="Arial" w:cs="Arial"/>
          <w:sz w:val="22"/>
          <w:szCs w:val="22"/>
        </w:rPr>
        <w:t xml:space="preserve">Sobre as migrações internacionais, é correto afirmar: </w:t>
      </w:r>
    </w:p>
    <w:p w14:paraId="7788CD25" w14:textId="77777777" w:rsid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EE169D4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Com a globalização, as migrações com motivação econômica foram reduzidas, enquanto os conflitos étnicos ganharam predominância como causa.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08A5D7F0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Os EUA deixaram de ser o país que mais recebe imigrantes no mundo durante o governo Donald </w:t>
      </w:r>
      <w:proofErr w:type="spellStart"/>
      <w:r w:rsidRPr="00412C05">
        <w:rPr>
          <w:rFonts w:ascii="Arial" w:hAnsi="Arial" w:cs="Arial"/>
          <w:sz w:val="22"/>
          <w:szCs w:val="22"/>
        </w:rPr>
        <w:t>Trump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, quando foi construído o muro na fronteira mexicana.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D59D792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A presença dos imigrantes latinos se reflete na cultura dos EUA, manifesta na influência da língua espanhola e da culinária mexicana.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5AAFDD85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A formação da União Europeia exigiu a instituição de uma política migratória comum para os países do bloco, que se </w:t>
      </w:r>
      <w:proofErr w:type="gramStart"/>
      <w:r w:rsidRPr="00412C05">
        <w:rPr>
          <w:rFonts w:ascii="Arial" w:hAnsi="Arial" w:cs="Arial"/>
          <w:sz w:val="22"/>
          <w:szCs w:val="22"/>
        </w:rPr>
        <w:t>abriram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 para as imigrações.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7D21D38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O grau de diferenciação entre civilizações define os padrões migratórios, como se vê pela pouca participação de asiáticos na população estrangeira residente nos EUA.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2B7C862" w14:textId="77777777" w:rsidR="004D3B88" w:rsidRPr="00412C05" w:rsidRDefault="004D3B88" w:rsidP="00412C05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4BE2DAC3" w14:textId="4B3A6622" w:rsidR="004D3B88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8</w:t>
      </w:r>
      <w:r w:rsidR="004D3B88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r w:rsidR="00412C05">
        <w:rPr>
          <w:rFonts w:ascii="Arial" w:hAnsi="Arial" w:cs="Arial"/>
          <w:sz w:val="22"/>
          <w:szCs w:val="22"/>
          <w:lang w:eastAsia="zh-CN"/>
        </w:rPr>
        <w:t>Fempar</w:t>
      </w:r>
      <w:proofErr w:type="spellEnd"/>
      <w:r w:rsid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r w:rsidR="00412C05">
        <w:rPr>
          <w:rFonts w:ascii="Arial" w:hAnsi="Arial" w:cs="Arial"/>
          <w:sz w:val="22"/>
          <w:szCs w:val="22"/>
          <w:lang w:eastAsia="zh-CN"/>
        </w:rPr>
        <w:t>Fepar</w:t>
      </w:r>
      <w:proofErr w:type="spellEnd"/>
      <w:r w:rsidR="00412C05">
        <w:rPr>
          <w:rFonts w:ascii="Arial" w:hAnsi="Arial" w:cs="Arial"/>
          <w:sz w:val="22"/>
          <w:szCs w:val="22"/>
          <w:lang w:eastAsia="zh-CN"/>
        </w:rPr>
        <w:t xml:space="preserve">) 2024) </w:t>
      </w:r>
      <w:r w:rsidR="004D3B88" w:rsidRPr="00412C05">
        <w:rPr>
          <w:rFonts w:ascii="Arial" w:hAnsi="Arial" w:cs="Arial"/>
          <w:sz w:val="22"/>
          <w:szCs w:val="22"/>
        </w:rPr>
        <w:t xml:space="preserve">O termo </w:t>
      </w:r>
      <w:r w:rsidR="004D3B88" w:rsidRPr="00412C05">
        <w:rPr>
          <w:rFonts w:ascii="Arial" w:hAnsi="Arial" w:cs="Arial"/>
          <w:i/>
          <w:iCs/>
          <w:sz w:val="22"/>
          <w:szCs w:val="22"/>
          <w:u w:val="single"/>
        </w:rPr>
        <w:t>globalização</w:t>
      </w:r>
      <w:r w:rsidR="004D3B88" w:rsidRPr="00412C05">
        <w:rPr>
          <w:rFonts w:ascii="Arial" w:hAnsi="Arial" w:cs="Arial"/>
          <w:sz w:val="22"/>
          <w:szCs w:val="22"/>
        </w:rPr>
        <w:t xml:space="preserve"> começou a ser usado com mais frequência a partir da década de 1980, refletindo avanços tecnológicos - como os processos de transmissão de dados e a capacidade ampliada de seu processamento - que facilitaram e tornaram mais rápidos os fluxos comerciais e financeiros.</w:t>
      </w:r>
      <w:r w:rsidR="00412C05">
        <w:rPr>
          <w:rFonts w:ascii="Arial" w:hAnsi="Arial" w:cs="Arial"/>
          <w:sz w:val="22"/>
          <w:szCs w:val="22"/>
        </w:rPr>
        <w:t xml:space="preserve"> </w:t>
      </w:r>
      <w:r w:rsidR="004D3B88" w:rsidRPr="00412C05">
        <w:rPr>
          <w:rFonts w:ascii="Arial" w:hAnsi="Arial" w:cs="Arial"/>
          <w:sz w:val="22"/>
          <w:szCs w:val="22"/>
        </w:rPr>
        <w:t xml:space="preserve">As opções a seguir apresentam indicadores do processo de globalização, </w:t>
      </w:r>
      <w:r w:rsidR="004D3B88" w:rsidRPr="00412C05">
        <w:rPr>
          <w:rFonts w:ascii="Arial" w:hAnsi="Arial" w:cs="Arial"/>
          <w:b/>
          <w:bCs/>
          <w:sz w:val="22"/>
          <w:szCs w:val="22"/>
        </w:rPr>
        <w:t>à exceção de uma</w:t>
      </w:r>
      <w:r w:rsidR="004D3B88" w:rsidRPr="00412C05">
        <w:rPr>
          <w:rFonts w:ascii="Arial" w:hAnsi="Arial" w:cs="Arial"/>
          <w:sz w:val="22"/>
          <w:szCs w:val="22"/>
        </w:rPr>
        <w:t>. Assinale-a.</w:t>
      </w:r>
      <w:proofErr w:type="gramStart"/>
      <w:r w:rsidR="004D3B88" w:rsidRPr="00412C05">
        <w:rPr>
          <w:rFonts w:ascii="Arial" w:hAnsi="Arial" w:cs="Arial"/>
          <w:sz w:val="22"/>
          <w:szCs w:val="22"/>
        </w:rPr>
        <w:t xml:space="preserve">  </w:t>
      </w:r>
    </w:p>
    <w:p w14:paraId="563304B8" w14:textId="77777777" w:rsid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eastAsia="zh-CN"/>
        </w:rPr>
      </w:pPr>
      <w:proofErr w:type="gramEnd"/>
    </w:p>
    <w:p w14:paraId="58EF4AF9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Os avanços tecnológicos contribuíram para acentuar a desigualdade ao privilegiar a demanda por trabalhadores mais qualificados, o que estimulou os fluxos migratórios de “cérebros”.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6F1C0E04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O aumento da circulação de bens permitiu que os consumidores tivessem acesso a uma variedade maior de bens e serviços a um custo mais baixo, o que irá se refletir positivamente na qualidade de vida.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252AE4F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sz w:val="22"/>
          <w:szCs w:val="22"/>
        </w:rPr>
        <w:t xml:space="preserve">A difusão de novas tecnologias de informação contribuiu para ampliar a “distância digital”: boa parte dos indivíduos não tem condições para acompanhar os progressos tecnológicos ou mesmo participar de redes.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8F5D41B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A globalização eliminou a pobreza ao promover o aumento da renda </w:t>
      </w:r>
      <w:r w:rsidRPr="00412C05">
        <w:rPr>
          <w:rFonts w:ascii="Arial" w:hAnsi="Arial" w:cs="Arial"/>
          <w:i/>
          <w:iCs/>
          <w:color w:val="0070C0"/>
          <w:sz w:val="22"/>
          <w:szCs w:val="22"/>
        </w:rPr>
        <w:t>per capita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 em diversas regiões, o que permitiu diminuir, ao mesmo tempo, o distanciamento entre as faixas de renda e entre os países. 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69D6ED9E" w14:textId="77777777" w:rsidR="004D3B88" w:rsidRPr="00412C05" w:rsidRDefault="004D3B88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O aumento do comércio de bens e serviços é explicado pela redução expressiva dos custos dos transportes e pelo avanço das tecnologias de comunicação que facilitaram o controle à distância dos fluxos de circulação.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28D0198" w14:textId="62374EC6" w:rsidR="00C00566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lastRenderedPageBreak/>
        <w:t>9</w:t>
      </w:r>
      <w:r w:rsidR="00C00566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C00566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proofErr w:type="gramStart"/>
      <w:r w:rsidR="00C00566" w:rsidRPr="00412C05">
        <w:rPr>
          <w:rFonts w:ascii="Arial" w:hAnsi="Arial" w:cs="Arial"/>
          <w:sz w:val="22"/>
          <w:szCs w:val="22"/>
          <w:lang w:eastAsia="zh-CN"/>
        </w:rPr>
        <w:t>Uea</w:t>
      </w:r>
      <w:proofErr w:type="spellEnd"/>
      <w:proofErr w:type="gramEnd"/>
      <w:r w:rsidR="00C00566" w:rsidRPr="00412C05">
        <w:rPr>
          <w:rFonts w:ascii="Arial" w:hAnsi="Arial" w:cs="Arial"/>
          <w:sz w:val="22"/>
          <w:szCs w:val="22"/>
          <w:lang w:eastAsia="zh-CN"/>
        </w:rPr>
        <w:t xml:space="preserve"> 2024)  </w:t>
      </w:r>
      <w:r w:rsidR="00C00566" w:rsidRPr="00412C05">
        <w:rPr>
          <w:rFonts w:ascii="Arial" w:hAnsi="Arial" w:cs="Arial"/>
          <w:sz w:val="22"/>
          <w:szCs w:val="22"/>
        </w:rPr>
        <w:t xml:space="preserve">Leia o </w:t>
      </w:r>
      <w:proofErr w:type="spellStart"/>
      <w:r w:rsidR="00C00566" w:rsidRPr="00412C05">
        <w:rPr>
          <w:rFonts w:ascii="Arial" w:hAnsi="Arial" w:cs="Arial"/>
          <w:sz w:val="22"/>
          <w:szCs w:val="22"/>
        </w:rPr>
        <w:t>tuíte</w:t>
      </w:r>
      <w:proofErr w:type="spellEnd"/>
      <w:r w:rsidR="00C00566" w:rsidRPr="00412C05">
        <w:rPr>
          <w:rFonts w:ascii="Arial" w:hAnsi="Arial" w:cs="Arial"/>
          <w:sz w:val="22"/>
          <w:szCs w:val="22"/>
        </w:rPr>
        <w:t xml:space="preserve"> do perfil Mercosul, publicado em 26.03.2023.</w:t>
      </w:r>
    </w:p>
    <w:p w14:paraId="3683058D" w14:textId="77777777" w:rsidR="00C00566" w:rsidRPr="00412C05" w:rsidRDefault="00C00566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78CA30" w14:textId="77777777" w:rsidR="00C00566" w:rsidRPr="00412C05" w:rsidRDefault="00C00566" w:rsidP="00412C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0D9FCAF" wp14:editId="46D824CD">
            <wp:extent cx="3038475" cy="3874251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576" cy="387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76B8" w14:textId="77777777" w:rsidR="00C00566" w:rsidRPr="00412C05" w:rsidRDefault="00C00566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643E2C" w14:textId="77777777" w:rsidR="00C00566" w:rsidRPr="00412C05" w:rsidRDefault="00C00566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O Tratado de Assunção é um acordo fundamental para a integração do bloco econômico do </w:t>
      </w:r>
      <w:proofErr w:type="gramStart"/>
      <w:r w:rsidRPr="00412C05">
        <w:rPr>
          <w:rFonts w:ascii="Arial" w:hAnsi="Arial" w:cs="Arial"/>
          <w:sz w:val="22"/>
          <w:szCs w:val="22"/>
        </w:rPr>
        <w:t>Mercosul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 porque implementou </w:t>
      </w:r>
    </w:p>
    <w:p w14:paraId="1DB1E2D9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a paridade monetária entre as moedas dos países-membros.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C584F89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um sistema legislativo comum para os países-membros.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2F01727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sz w:val="22"/>
          <w:szCs w:val="22"/>
        </w:rPr>
        <w:t xml:space="preserve">a incorporação do Chile e da Venezuela como países associados aos países-membros.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FB531F1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uma área de livre comércio entre os países-membros.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6549F7A4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a unificação das balanças comerciais entre os países.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61AE299D" w14:textId="77777777" w:rsidR="00C00566" w:rsidRPr="00412C05" w:rsidRDefault="00C00566" w:rsidP="00412C05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3EA4E623" w14:textId="3542AFA6" w:rsidR="00C00566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10</w:t>
      </w:r>
      <w:r w:rsidR="00C00566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C00566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proofErr w:type="gramStart"/>
      <w:r w:rsidR="00C00566" w:rsidRPr="00412C05">
        <w:rPr>
          <w:rFonts w:ascii="Arial" w:hAnsi="Arial" w:cs="Arial"/>
          <w:sz w:val="22"/>
          <w:szCs w:val="22"/>
          <w:lang w:eastAsia="zh-CN"/>
        </w:rPr>
        <w:t>Uea</w:t>
      </w:r>
      <w:proofErr w:type="gramEnd"/>
      <w:r w:rsidR="00C00566" w:rsidRPr="00412C05">
        <w:rPr>
          <w:rFonts w:ascii="Arial" w:hAnsi="Arial" w:cs="Arial"/>
          <w:sz w:val="22"/>
          <w:szCs w:val="22"/>
          <w:lang w:eastAsia="zh-CN"/>
        </w:rPr>
        <w:t>-sis</w:t>
      </w:r>
      <w:proofErr w:type="spellEnd"/>
      <w:r w:rsidR="00C00566" w:rsidRPr="00412C05">
        <w:rPr>
          <w:rFonts w:ascii="Arial" w:hAnsi="Arial" w:cs="Arial"/>
          <w:sz w:val="22"/>
          <w:szCs w:val="22"/>
          <w:lang w:eastAsia="zh-CN"/>
        </w:rPr>
        <w:t xml:space="preserve"> 3 2024)  </w:t>
      </w:r>
      <w:r w:rsidR="00C00566" w:rsidRPr="00412C05">
        <w:rPr>
          <w:rFonts w:ascii="Arial" w:hAnsi="Arial" w:cs="Arial"/>
          <w:sz w:val="22"/>
          <w:szCs w:val="22"/>
        </w:rPr>
        <w:t xml:space="preserve">Negociado por mais de 20 anos, o acordo União Europeia- Mercosul teve um anúncio de conclusão geral em 2019, mas ainda há um longo caminho para sua efetiva entrada em vigor. Isso porque o </w:t>
      </w:r>
      <w:proofErr w:type="gramStart"/>
      <w:r w:rsidR="00C00566" w:rsidRPr="00412C05">
        <w:rPr>
          <w:rFonts w:ascii="Arial" w:hAnsi="Arial" w:cs="Arial"/>
          <w:sz w:val="22"/>
          <w:szCs w:val="22"/>
        </w:rPr>
        <w:t>tratado precisa</w:t>
      </w:r>
      <w:proofErr w:type="gramEnd"/>
      <w:r w:rsidR="00C00566" w:rsidRPr="00412C05">
        <w:rPr>
          <w:rFonts w:ascii="Arial" w:hAnsi="Arial" w:cs="Arial"/>
          <w:sz w:val="22"/>
          <w:szCs w:val="22"/>
        </w:rPr>
        <w:t xml:space="preserve"> ser ratificado e internalizado por cada um dos Estados integrantes dos dois blocos econômicos. Na prática, significa que o acordo terá que ser aprovado pelos parlamentos e governos nacionais dos 31 países envolvidos.</w:t>
      </w:r>
    </w:p>
    <w:p w14:paraId="571DA102" w14:textId="77777777" w:rsidR="00C00566" w:rsidRPr="00412C05" w:rsidRDefault="00C00566" w:rsidP="00412C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 w:rsidRPr="00412C05">
        <w:rPr>
          <w:rFonts w:ascii="Arial" w:hAnsi="Arial" w:cs="Arial"/>
          <w:sz w:val="14"/>
          <w:szCs w:val="14"/>
        </w:rPr>
        <w:t>(</w:t>
      </w:r>
      <w:proofErr w:type="gramStart"/>
      <w:r w:rsidRPr="00412C05">
        <w:rPr>
          <w:rFonts w:ascii="Arial" w:hAnsi="Arial" w:cs="Arial"/>
          <w:sz w:val="14"/>
          <w:szCs w:val="14"/>
        </w:rPr>
        <w:t>https</w:t>
      </w:r>
      <w:proofErr w:type="gramEnd"/>
      <w:r w:rsidRPr="00412C05">
        <w:rPr>
          <w:rFonts w:ascii="Arial" w:hAnsi="Arial" w:cs="Arial"/>
          <w:sz w:val="14"/>
          <w:szCs w:val="14"/>
        </w:rPr>
        <w:t>://agenciabrasil.ebc.com.br, 04.07.2023. Adaptado.)</w:t>
      </w:r>
    </w:p>
    <w:p w14:paraId="2EDB3D5F" w14:textId="77777777" w:rsidR="00C00566" w:rsidRDefault="00C00566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O acordo entre os dois blocos econômicos tem como objetivo </w:t>
      </w:r>
    </w:p>
    <w:p w14:paraId="1EEF8942" w14:textId="77777777" w:rsidR="00412C05" w:rsidRP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CE2953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tornar o </w:t>
      </w:r>
      <w:proofErr w:type="gramStart"/>
      <w:r w:rsidRPr="00412C05">
        <w:rPr>
          <w:rFonts w:ascii="Arial" w:hAnsi="Arial" w:cs="Arial"/>
          <w:sz w:val="22"/>
          <w:szCs w:val="22"/>
        </w:rPr>
        <w:t>Mercosul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 um mercado comum.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F141764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criar uma área de livre comércio entre a União Europeia e o </w:t>
      </w:r>
      <w:proofErr w:type="gramStart"/>
      <w:r w:rsidRPr="00412C05">
        <w:rPr>
          <w:rFonts w:ascii="Arial" w:hAnsi="Arial" w:cs="Arial"/>
          <w:color w:val="0070C0"/>
          <w:sz w:val="22"/>
          <w:szCs w:val="22"/>
        </w:rPr>
        <w:t>Mercosul</w:t>
      </w:r>
      <w:proofErr w:type="gramEnd"/>
      <w:r w:rsidRPr="00412C05">
        <w:rPr>
          <w:rFonts w:ascii="Arial" w:hAnsi="Arial" w:cs="Arial"/>
          <w:color w:val="0070C0"/>
          <w:sz w:val="22"/>
          <w:szCs w:val="22"/>
        </w:rPr>
        <w:t xml:space="preserve">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60D220AE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lastRenderedPageBreak/>
        <w:t xml:space="preserve">c) </w:t>
      </w:r>
      <w:r w:rsidRPr="00412C05">
        <w:rPr>
          <w:rFonts w:ascii="Arial" w:hAnsi="Arial" w:cs="Arial"/>
          <w:sz w:val="22"/>
          <w:szCs w:val="22"/>
        </w:rPr>
        <w:t xml:space="preserve">estender o espaço </w:t>
      </w:r>
      <w:proofErr w:type="spellStart"/>
      <w:r w:rsidRPr="00412C05">
        <w:rPr>
          <w:rFonts w:ascii="Arial" w:hAnsi="Arial" w:cs="Arial"/>
          <w:sz w:val="22"/>
          <w:szCs w:val="22"/>
        </w:rPr>
        <w:t>Schengen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 para os países do </w:t>
      </w:r>
      <w:proofErr w:type="gramStart"/>
      <w:r w:rsidRPr="00412C05">
        <w:rPr>
          <w:rFonts w:ascii="Arial" w:hAnsi="Arial" w:cs="Arial"/>
          <w:sz w:val="22"/>
          <w:szCs w:val="22"/>
        </w:rPr>
        <w:t>Mercosul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83CACBE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formar uma organização supranacional entre a União Europeia e o </w:t>
      </w:r>
      <w:proofErr w:type="gramStart"/>
      <w:r w:rsidRPr="00412C05">
        <w:rPr>
          <w:rFonts w:ascii="Arial" w:hAnsi="Arial" w:cs="Arial"/>
          <w:sz w:val="22"/>
          <w:szCs w:val="22"/>
        </w:rPr>
        <w:t>Mercosul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ABBE6B0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encerrar o embargo econômico da Venezuela imposto pela União Europeia.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58DDCE9" w14:textId="77777777" w:rsidR="00C00566" w:rsidRPr="00412C05" w:rsidRDefault="00C00566" w:rsidP="00412C05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05928AD5" w14:textId="058058AD" w:rsidR="00C00566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11</w:t>
      </w:r>
      <w:r w:rsidR="00C00566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C00566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proofErr w:type="gramStart"/>
      <w:r w:rsidR="00C00566" w:rsidRPr="00412C05">
        <w:rPr>
          <w:rFonts w:ascii="Arial" w:hAnsi="Arial" w:cs="Arial"/>
          <w:sz w:val="22"/>
          <w:szCs w:val="22"/>
          <w:lang w:eastAsia="zh-CN"/>
        </w:rPr>
        <w:t>Uea</w:t>
      </w:r>
      <w:proofErr w:type="gramEnd"/>
      <w:r w:rsidR="00C00566" w:rsidRPr="00412C05">
        <w:rPr>
          <w:rFonts w:ascii="Arial" w:hAnsi="Arial" w:cs="Arial"/>
          <w:sz w:val="22"/>
          <w:szCs w:val="22"/>
          <w:lang w:eastAsia="zh-CN"/>
        </w:rPr>
        <w:t>-sis</w:t>
      </w:r>
      <w:proofErr w:type="spellEnd"/>
      <w:r w:rsidR="00C00566" w:rsidRPr="00412C05">
        <w:rPr>
          <w:rFonts w:ascii="Arial" w:hAnsi="Arial" w:cs="Arial"/>
          <w:sz w:val="22"/>
          <w:szCs w:val="22"/>
          <w:lang w:eastAsia="zh-CN"/>
        </w:rPr>
        <w:t xml:space="preserve"> 1 2023)  </w:t>
      </w:r>
      <w:r w:rsidR="00C00566" w:rsidRPr="00412C05">
        <w:rPr>
          <w:rFonts w:ascii="Arial" w:hAnsi="Arial" w:cs="Arial"/>
          <w:sz w:val="22"/>
          <w:szCs w:val="22"/>
        </w:rPr>
        <w:t xml:space="preserve">Os governos do Brasil e da Argentina entraram em acordo para reduzir em 10% a Tarifa Externa Comum (TEC) do Mercosul — bloco econômico que também inclui os vizinhos Paraguai e Uruguai. A Tarifa Externa Comum é uma alíquota de importação unificada entre os países do bloco. Essa unificação ajuda a evitar disputas tarifárias dentro do </w:t>
      </w:r>
      <w:proofErr w:type="gramStart"/>
      <w:r w:rsidR="00C00566" w:rsidRPr="00412C05">
        <w:rPr>
          <w:rFonts w:ascii="Arial" w:hAnsi="Arial" w:cs="Arial"/>
          <w:sz w:val="22"/>
          <w:szCs w:val="22"/>
        </w:rPr>
        <w:t>Mercosul</w:t>
      </w:r>
      <w:proofErr w:type="gramEnd"/>
      <w:r w:rsidR="00C00566" w:rsidRPr="00412C05">
        <w:rPr>
          <w:rFonts w:ascii="Arial" w:hAnsi="Arial" w:cs="Arial"/>
          <w:sz w:val="22"/>
          <w:szCs w:val="22"/>
        </w:rPr>
        <w:t xml:space="preserve"> — mas especialistas criticam a variedade de exceções impostas à regra.</w:t>
      </w:r>
    </w:p>
    <w:p w14:paraId="21A48DC4" w14:textId="77777777" w:rsidR="00C00566" w:rsidRPr="00412C05" w:rsidRDefault="00C00566" w:rsidP="00412C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</w:rPr>
      </w:pPr>
      <w:r w:rsidRPr="00412C05">
        <w:rPr>
          <w:rFonts w:ascii="Arial" w:hAnsi="Arial" w:cs="Arial"/>
          <w:sz w:val="14"/>
          <w:szCs w:val="14"/>
        </w:rPr>
        <w:t>(</w:t>
      </w:r>
      <w:proofErr w:type="gramStart"/>
      <w:r w:rsidRPr="00412C05">
        <w:rPr>
          <w:rFonts w:ascii="Arial" w:hAnsi="Arial" w:cs="Arial"/>
          <w:sz w:val="14"/>
          <w:szCs w:val="14"/>
        </w:rPr>
        <w:t>https</w:t>
      </w:r>
      <w:proofErr w:type="gramEnd"/>
      <w:r w:rsidRPr="00412C05">
        <w:rPr>
          <w:rFonts w:ascii="Arial" w:hAnsi="Arial" w:cs="Arial"/>
          <w:sz w:val="14"/>
          <w:szCs w:val="14"/>
        </w:rPr>
        <w:t>://g1.globo.com. 08.10.2021.)</w:t>
      </w:r>
    </w:p>
    <w:p w14:paraId="72D985BE" w14:textId="77777777" w:rsidR="00C00566" w:rsidRDefault="00C00566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O processo de estruturação dos blocos econômicos por um conjunto de países é constituído por diferentes etapas de integração. Dessa forma, a etapa de integração que </w:t>
      </w:r>
      <w:proofErr w:type="gramStart"/>
      <w:r w:rsidRPr="00412C05">
        <w:rPr>
          <w:rFonts w:ascii="Arial" w:hAnsi="Arial" w:cs="Arial"/>
          <w:sz w:val="22"/>
          <w:szCs w:val="22"/>
        </w:rPr>
        <w:t>implementa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 a Tarifa Externa Comum citada nesse excerto é </w:t>
      </w:r>
    </w:p>
    <w:p w14:paraId="26399CB6" w14:textId="77777777" w:rsidR="00412C05" w:rsidRP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CB639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a área de livre comércio.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D176746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a livre circulação de pessoas.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5E1B59C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a união aduaneira.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5F00D898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o mercado comum.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3E821E87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a união econômica.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662B83CA" w14:textId="77777777" w:rsidR="004D3B88" w:rsidRPr="00412C05" w:rsidRDefault="004D3B88" w:rsidP="00412C0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FDC1402" w14:textId="6E22DF62" w:rsidR="00C00566" w:rsidRPr="00412C05" w:rsidRDefault="00C00566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>1</w:t>
      </w:r>
      <w:r w:rsidR="00300449">
        <w:rPr>
          <w:rFonts w:ascii="Arial" w:hAnsi="Arial" w:cs="Arial"/>
          <w:sz w:val="22"/>
          <w:szCs w:val="22"/>
          <w:lang w:eastAsia="zh-CN"/>
        </w:rPr>
        <w:t>2</w:t>
      </w:r>
      <w:r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r w:rsidRPr="00412C05">
        <w:rPr>
          <w:rFonts w:ascii="Arial" w:hAnsi="Arial" w:cs="Arial"/>
          <w:sz w:val="22"/>
          <w:szCs w:val="22"/>
          <w:lang w:eastAsia="zh-CN"/>
        </w:rPr>
        <w:t>Acafe</w:t>
      </w:r>
      <w:proofErr w:type="spellEnd"/>
      <w:r w:rsidRPr="00412C05">
        <w:rPr>
          <w:rFonts w:ascii="Arial" w:hAnsi="Arial" w:cs="Arial"/>
          <w:sz w:val="22"/>
          <w:szCs w:val="22"/>
          <w:lang w:eastAsia="zh-CN"/>
        </w:rPr>
        <w:t xml:space="preserve"> 2020) </w:t>
      </w:r>
      <w:r w:rsidRPr="00412C05">
        <w:rPr>
          <w:rFonts w:ascii="Arial" w:hAnsi="Arial" w:cs="Arial"/>
          <w:sz w:val="22"/>
          <w:szCs w:val="22"/>
        </w:rPr>
        <w:t>Quando países abdicam de parte de sua soberania para comporem blocos regionais, alianças comerciais, econômicas e em alguns casos até sociais, têm-se os blocos econômicos. A União Europeia faz parte de um processo histórico iniciado após a Segunda Guerra Mundial que evoluiu até os anos 1990, quando ganhou seus atuais contornos. No final do século XX, o modelo que aproxima economicamente diferentes países em blocos regionais se expandiu e diferentes estratégias foram adotadas e diferentes níveis de integração. A esse respeito associe a primeira e a segunda coluna:</w:t>
      </w:r>
    </w:p>
    <w:p w14:paraId="68F88371" w14:textId="77777777" w:rsidR="00C00566" w:rsidRPr="00412C05" w:rsidRDefault="00C00566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2547"/>
        <w:gridCol w:w="2531"/>
      </w:tblGrid>
      <w:tr w:rsidR="00C00566" w:rsidRPr="00412C05" w14:paraId="4D0A05A4" w14:textId="77777777" w:rsidTr="00412C05">
        <w:tc>
          <w:tcPr>
            <w:tcW w:w="2547" w:type="dxa"/>
          </w:tcPr>
          <w:p w14:paraId="20D7637D" w14:textId="77777777" w:rsidR="00C00566" w:rsidRPr="00412C05" w:rsidRDefault="00C00566" w:rsidP="00412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12C05">
              <w:rPr>
                <w:rFonts w:ascii="Arial" w:hAnsi="Arial" w:cs="Arial"/>
                <w:sz w:val="22"/>
                <w:szCs w:val="22"/>
              </w:rPr>
              <w:t>1. Zona de Livre Comércio</w:t>
            </w:r>
          </w:p>
        </w:tc>
        <w:tc>
          <w:tcPr>
            <w:tcW w:w="2531" w:type="dxa"/>
          </w:tcPr>
          <w:p w14:paraId="0210794C" w14:textId="77777777" w:rsidR="00C00566" w:rsidRPr="00412C05" w:rsidRDefault="00C00566" w:rsidP="00412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2C05">
              <w:rPr>
                <w:rFonts w:ascii="Arial" w:hAnsi="Arial" w:cs="Arial"/>
                <w:sz w:val="22"/>
                <w:szCs w:val="22"/>
              </w:rPr>
              <w:t xml:space="preserve">(     </w:t>
            </w:r>
            <w:proofErr w:type="gramEnd"/>
            <w:r w:rsidRPr="00412C05">
              <w:rPr>
                <w:rFonts w:ascii="Arial" w:hAnsi="Arial" w:cs="Arial"/>
                <w:sz w:val="22"/>
                <w:szCs w:val="22"/>
              </w:rPr>
              <w:t>) Mercosul</w:t>
            </w:r>
          </w:p>
        </w:tc>
      </w:tr>
      <w:tr w:rsidR="00C00566" w:rsidRPr="00412C05" w14:paraId="16C22EE4" w14:textId="77777777" w:rsidTr="00412C05">
        <w:tc>
          <w:tcPr>
            <w:tcW w:w="2547" w:type="dxa"/>
          </w:tcPr>
          <w:p w14:paraId="148744CB" w14:textId="77777777" w:rsidR="00C00566" w:rsidRPr="00412C05" w:rsidRDefault="00C00566" w:rsidP="00412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12C05">
              <w:rPr>
                <w:rFonts w:ascii="Arial" w:hAnsi="Arial" w:cs="Arial"/>
                <w:sz w:val="22"/>
                <w:szCs w:val="22"/>
              </w:rPr>
              <w:t>2. União Aduaneira</w:t>
            </w:r>
          </w:p>
        </w:tc>
        <w:tc>
          <w:tcPr>
            <w:tcW w:w="2531" w:type="dxa"/>
          </w:tcPr>
          <w:p w14:paraId="2466CC8E" w14:textId="77777777" w:rsidR="00C00566" w:rsidRPr="00412C05" w:rsidRDefault="00C00566" w:rsidP="00412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2C05">
              <w:rPr>
                <w:rFonts w:ascii="Arial" w:hAnsi="Arial" w:cs="Arial"/>
                <w:sz w:val="22"/>
                <w:szCs w:val="22"/>
              </w:rPr>
              <w:t xml:space="preserve">(     </w:t>
            </w:r>
            <w:proofErr w:type="gramEnd"/>
            <w:r w:rsidRPr="00412C05">
              <w:rPr>
                <w:rFonts w:ascii="Arial" w:hAnsi="Arial" w:cs="Arial"/>
                <w:sz w:val="22"/>
                <w:szCs w:val="22"/>
              </w:rPr>
              <w:t>) União Europeia</w:t>
            </w:r>
          </w:p>
        </w:tc>
      </w:tr>
      <w:tr w:rsidR="00C00566" w:rsidRPr="00412C05" w14:paraId="44F7CF64" w14:textId="77777777" w:rsidTr="00412C05">
        <w:tc>
          <w:tcPr>
            <w:tcW w:w="2547" w:type="dxa"/>
          </w:tcPr>
          <w:p w14:paraId="328DA95C" w14:textId="77777777" w:rsidR="00C00566" w:rsidRPr="00412C05" w:rsidRDefault="00C00566" w:rsidP="00412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12C05">
              <w:rPr>
                <w:rFonts w:ascii="Arial" w:hAnsi="Arial" w:cs="Arial"/>
                <w:sz w:val="22"/>
                <w:szCs w:val="22"/>
              </w:rPr>
              <w:t>3. União Econômica e Monetária</w:t>
            </w:r>
          </w:p>
        </w:tc>
        <w:tc>
          <w:tcPr>
            <w:tcW w:w="2531" w:type="dxa"/>
          </w:tcPr>
          <w:p w14:paraId="7FA701AA" w14:textId="77777777" w:rsidR="00C00566" w:rsidRPr="00412C05" w:rsidRDefault="00C00566" w:rsidP="00412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2C05">
              <w:rPr>
                <w:rFonts w:ascii="Arial" w:hAnsi="Arial" w:cs="Arial"/>
                <w:sz w:val="22"/>
                <w:szCs w:val="22"/>
              </w:rPr>
              <w:t xml:space="preserve">(     </w:t>
            </w:r>
            <w:proofErr w:type="gramEnd"/>
            <w:r w:rsidRPr="00412C05">
              <w:rPr>
                <w:rFonts w:ascii="Arial" w:hAnsi="Arial" w:cs="Arial"/>
                <w:sz w:val="22"/>
                <w:szCs w:val="22"/>
              </w:rPr>
              <w:t>) NAFTA</w:t>
            </w:r>
          </w:p>
        </w:tc>
      </w:tr>
    </w:tbl>
    <w:p w14:paraId="71DC1A40" w14:textId="77777777" w:rsidR="00C00566" w:rsidRPr="00412C05" w:rsidRDefault="00C00566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E7EACF" w14:textId="77777777" w:rsidR="00C00566" w:rsidRPr="00412C05" w:rsidRDefault="00C00566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2C05">
        <w:rPr>
          <w:rFonts w:ascii="Arial" w:hAnsi="Arial" w:cs="Arial"/>
          <w:sz w:val="22"/>
          <w:szCs w:val="22"/>
        </w:rPr>
        <w:t xml:space="preserve">A sequência correta, de cima para baixo, é: </w:t>
      </w:r>
    </w:p>
    <w:p w14:paraId="7D6992E1" w14:textId="77777777" w:rsidR="000F5C0F" w:rsidRDefault="000F5C0F" w:rsidP="00412C05">
      <w:pPr>
        <w:ind w:left="227" w:hanging="22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1327CDDC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>1, 2, 3</w:t>
      </w:r>
      <w:proofErr w:type="gramStart"/>
      <w:r w:rsidRPr="00412C05">
        <w:rPr>
          <w:rFonts w:ascii="Arial" w:hAnsi="Arial" w:cs="Arial"/>
          <w:sz w:val="22"/>
          <w:szCs w:val="22"/>
        </w:rPr>
        <w:t xml:space="preserve">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9112F69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proofErr w:type="gramEnd"/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>1, 3, 2</w:t>
      </w:r>
      <w:proofErr w:type="gramStart"/>
      <w:r w:rsidRPr="00412C05">
        <w:rPr>
          <w:rFonts w:ascii="Arial" w:hAnsi="Arial" w:cs="Arial"/>
          <w:sz w:val="22"/>
          <w:szCs w:val="22"/>
        </w:rPr>
        <w:t xml:space="preserve">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354BBB8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proofErr w:type="gramEnd"/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color w:val="0070C0"/>
          <w:sz w:val="22"/>
          <w:szCs w:val="22"/>
        </w:rPr>
        <w:t>2, 3, 1</w:t>
      </w:r>
      <w:proofErr w:type="gramStart"/>
      <w:r w:rsidRPr="00412C05">
        <w:rPr>
          <w:rFonts w:ascii="Arial" w:hAnsi="Arial" w:cs="Arial"/>
          <w:color w:val="0070C0"/>
          <w:sz w:val="22"/>
          <w:szCs w:val="22"/>
        </w:rPr>
        <w:t xml:space="preserve">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04B23CF7" w14:textId="77777777" w:rsidR="00C00566" w:rsidRPr="00412C05" w:rsidRDefault="00C00566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proofErr w:type="gramEnd"/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>2, 1, 3</w:t>
      </w:r>
      <w:proofErr w:type="gramStart"/>
      <w:r w:rsidRPr="00412C05">
        <w:rPr>
          <w:rFonts w:ascii="Arial" w:hAnsi="Arial" w:cs="Arial"/>
          <w:sz w:val="22"/>
          <w:szCs w:val="22"/>
        </w:rPr>
        <w:t xml:space="preserve">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A313813" w14:textId="77777777" w:rsidR="00C00566" w:rsidRPr="00412C05" w:rsidRDefault="00C00566" w:rsidP="00412C0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proofErr w:type="gramEnd"/>
    </w:p>
    <w:p w14:paraId="7F314C55" w14:textId="77777777" w:rsidR="0088530B" w:rsidRDefault="0088530B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</w:p>
    <w:p w14:paraId="2CBD5E1A" w14:textId="3C70961B" w:rsidR="00412C05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lastRenderedPageBreak/>
        <w:t>13</w:t>
      </w:r>
      <w:r w:rsidR="00412C05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88530B">
        <w:rPr>
          <w:rFonts w:ascii="Arial" w:hAnsi="Arial" w:cs="Arial"/>
          <w:sz w:val="22"/>
          <w:szCs w:val="22"/>
          <w:lang w:eastAsia="zh-CN"/>
        </w:rPr>
        <w:t xml:space="preserve"> (Integrado - Medicina 2022)</w:t>
      </w:r>
      <w:r w:rsidR="00412C05" w:rsidRPr="00412C0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12C05" w:rsidRPr="00412C05">
        <w:rPr>
          <w:rFonts w:ascii="Arial" w:hAnsi="Arial" w:cs="Arial"/>
          <w:sz w:val="22"/>
          <w:szCs w:val="22"/>
        </w:rPr>
        <w:t xml:space="preserve">Sobre as principais potências industriais do mundo moderno, assinale a alternativa correta. </w:t>
      </w:r>
    </w:p>
    <w:p w14:paraId="7862B292" w14:textId="77777777" w:rsidR="000F5C0F" w:rsidRDefault="000F5C0F" w:rsidP="00412C05">
      <w:pPr>
        <w:ind w:left="227" w:hanging="22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77CFE19C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A Espanha cresceu, de maneira considerável, industrialmente nas últimas décadas, o que proporcionou sua ascensão ao mercado mundial como uma das principais </w:t>
      </w:r>
      <w:proofErr w:type="gramStart"/>
      <w:r w:rsidRPr="00412C05">
        <w:rPr>
          <w:rFonts w:ascii="Arial" w:hAnsi="Arial" w:cs="Arial"/>
          <w:sz w:val="22"/>
          <w:szCs w:val="22"/>
        </w:rPr>
        <w:t>potencias industriais</w:t>
      </w:r>
      <w:proofErr w:type="gramEnd"/>
      <w:r w:rsidRPr="00412C05">
        <w:rPr>
          <w:rFonts w:ascii="Arial" w:hAnsi="Arial" w:cs="Arial"/>
          <w:sz w:val="22"/>
          <w:szCs w:val="22"/>
        </w:rPr>
        <w:t xml:space="preserve">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7D0F1986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A Itália, após o </w:t>
      </w:r>
      <w:proofErr w:type="spellStart"/>
      <w:r w:rsidRPr="00412C05">
        <w:rPr>
          <w:rFonts w:ascii="Arial" w:hAnsi="Arial" w:cs="Arial"/>
          <w:sz w:val="22"/>
          <w:szCs w:val="22"/>
        </w:rPr>
        <w:t>Brexit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, perdeu o posto de potência industrial na Europa.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753339F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sz w:val="22"/>
          <w:szCs w:val="22"/>
        </w:rPr>
        <w:t xml:space="preserve">A Rússia, apesar do fim da União Soviética, ainda é classificada como uma das maiores potências industriais do mundo.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DF04409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O Canadá, mesmo com sua industrialização tardia, é umas das principais potências industriais do mundo, devido sua estreita relação com os EUA.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656EEEF9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A Alemanha e França, atualmente, se comportam como as principais potências industriais da União Europeia.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05D3E323" w14:textId="77777777" w:rsidR="00412C05" w:rsidRPr="00412C05" w:rsidRDefault="00412C05" w:rsidP="00412C0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39A6F64" w14:textId="3DABEC42" w:rsidR="00412C05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14</w:t>
      </w:r>
      <w:r w:rsidR="00412C05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12C05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gramStart"/>
      <w:r w:rsidR="00412C05" w:rsidRPr="00412C05">
        <w:rPr>
          <w:rFonts w:ascii="Arial" w:hAnsi="Arial" w:cs="Arial"/>
          <w:sz w:val="22"/>
          <w:szCs w:val="22"/>
          <w:lang w:eastAsia="zh-CN"/>
        </w:rPr>
        <w:t>Fuvest</w:t>
      </w:r>
      <w:proofErr w:type="gramEnd"/>
      <w:r w:rsidR="00412C05" w:rsidRPr="00412C05">
        <w:rPr>
          <w:rFonts w:ascii="Arial" w:hAnsi="Arial" w:cs="Arial"/>
          <w:sz w:val="22"/>
          <w:szCs w:val="22"/>
          <w:lang w:eastAsia="zh-CN"/>
        </w:rPr>
        <w:t>-</w:t>
      </w:r>
      <w:proofErr w:type="spellStart"/>
      <w:r w:rsidR="00412C05" w:rsidRPr="00412C05">
        <w:rPr>
          <w:rFonts w:ascii="Arial" w:hAnsi="Arial" w:cs="Arial"/>
          <w:sz w:val="22"/>
          <w:szCs w:val="22"/>
          <w:lang w:eastAsia="zh-CN"/>
        </w:rPr>
        <w:t>Ete</w:t>
      </w:r>
      <w:proofErr w:type="spellEnd"/>
      <w:r w:rsidR="00412C05" w:rsidRPr="00412C05">
        <w:rPr>
          <w:rFonts w:ascii="Arial" w:hAnsi="Arial" w:cs="Arial"/>
          <w:sz w:val="22"/>
          <w:szCs w:val="22"/>
          <w:lang w:eastAsia="zh-CN"/>
        </w:rPr>
        <w:t xml:space="preserve"> 2023)  </w:t>
      </w:r>
      <w:r w:rsidR="00412C05" w:rsidRPr="00412C05">
        <w:rPr>
          <w:rFonts w:ascii="Arial" w:hAnsi="Arial" w:cs="Arial"/>
          <w:sz w:val="22"/>
          <w:szCs w:val="22"/>
        </w:rPr>
        <w:t xml:space="preserve">A respeito do </w:t>
      </w:r>
      <w:proofErr w:type="spellStart"/>
      <w:r w:rsidR="00412C05" w:rsidRPr="00412C05">
        <w:rPr>
          <w:rFonts w:ascii="Arial" w:hAnsi="Arial" w:cs="Arial"/>
          <w:sz w:val="22"/>
          <w:szCs w:val="22"/>
        </w:rPr>
        <w:t>Brexit</w:t>
      </w:r>
      <w:proofErr w:type="spellEnd"/>
      <w:r w:rsidR="00412C05" w:rsidRPr="00412C05">
        <w:rPr>
          <w:rFonts w:ascii="Arial" w:hAnsi="Arial" w:cs="Arial"/>
          <w:sz w:val="22"/>
          <w:szCs w:val="22"/>
        </w:rPr>
        <w:t xml:space="preserve"> e das relações entre o Reino Unido e a União Europeia, é correto afirmar:  </w:t>
      </w:r>
    </w:p>
    <w:p w14:paraId="5634CE14" w14:textId="77777777" w:rsidR="000F5C0F" w:rsidRDefault="000F5C0F" w:rsidP="00412C05">
      <w:pPr>
        <w:ind w:left="227" w:hanging="227"/>
        <w:jc w:val="both"/>
        <w:rPr>
          <w:rFonts w:ascii="Arial" w:hAnsi="Arial" w:cs="Arial"/>
          <w:sz w:val="22"/>
          <w:szCs w:val="22"/>
          <w:lang w:eastAsia="zh-CN"/>
        </w:rPr>
      </w:pPr>
    </w:p>
    <w:p w14:paraId="36B03442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Apesar da saída do Reino Unido da União Europeia, a Grã-Bretanha continua fazendo parte do Tratado de </w:t>
      </w:r>
      <w:proofErr w:type="spellStart"/>
      <w:r w:rsidRPr="00412C05">
        <w:rPr>
          <w:rFonts w:ascii="Arial" w:hAnsi="Arial" w:cs="Arial"/>
          <w:sz w:val="22"/>
          <w:szCs w:val="22"/>
        </w:rPr>
        <w:t>Schengen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0D19528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Apesar da saída do Reino Unido da União Europeia, o Euro continua a ser a moeda utilizada na Inglaterra.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2353D675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O Reino Unido nunca fez parte da chamada Zona do Euro e do Tratado de </w:t>
      </w:r>
      <w:proofErr w:type="spellStart"/>
      <w:r w:rsidRPr="00412C05">
        <w:rPr>
          <w:rFonts w:ascii="Arial" w:hAnsi="Arial" w:cs="Arial"/>
          <w:color w:val="0070C0"/>
          <w:sz w:val="22"/>
          <w:szCs w:val="22"/>
        </w:rPr>
        <w:t>Schengen</w:t>
      </w:r>
      <w:proofErr w:type="spellEnd"/>
      <w:r w:rsidRPr="00412C05">
        <w:rPr>
          <w:rFonts w:ascii="Arial" w:hAnsi="Arial" w:cs="Arial"/>
          <w:color w:val="0070C0"/>
          <w:sz w:val="22"/>
          <w:szCs w:val="22"/>
        </w:rPr>
        <w:t xml:space="preserve">, e o </w:t>
      </w:r>
      <w:proofErr w:type="spellStart"/>
      <w:r w:rsidRPr="00412C05">
        <w:rPr>
          <w:rFonts w:ascii="Arial" w:hAnsi="Arial" w:cs="Arial"/>
          <w:color w:val="0070C0"/>
          <w:sz w:val="22"/>
          <w:szCs w:val="22"/>
        </w:rPr>
        <w:t>Brexit</w:t>
      </w:r>
      <w:proofErr w:type="spellEnd"/>
      <w:r w:rsidRPr="00412C05">
        <w:rPr>
          <w:rFonts w:ascii="Arial" w:hAnsi="Arial" w:cs="Arial"/>
          <w:color w:val="0070C0"/>
          <w:sz w:val="22"/>
          <w:szCs w:val="22"/>
        </w:rPr>
        <w:t xml:space="preserve"> distancia ainda mais a Grã-Bretanha do espaço econômico da Europa Continental. 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6256FF73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A continuidade inalterada da livre circulação de turistas, cidadãos e mercadorias entre os territórios nacionais europeus tornou o </w:t>
      </w:r>
      <w:proofErr w:type="spellStart"/>
      <w:r w:rsidRPr="00412C05">
        <w:rPr>
          <w:rFonts w:ascii="Arial" w:hAnsi="Arial" w:cs="Arial"/>
          <w:sz w:val="22"/>
          <w:szCs w:val="22"/>
        </w:rPr>
        <w:t>Brexit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 sem efeito na vida econômica e social britânica.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3E92BA6A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412C05">
        <w:rPr>
          <w:rFonts w:ascii="Arial" w:hAnsi="Arial" w:cs="Arial"/>
          <w:sz w:val="22"/>
          <w:szCs w:val="22"/>
        </w:rPr>
        <w:t>Brexit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 foi uma medida principalmente voltada para o retorno do uso da Libra Esterlina no Reino Unido e para o abandono do Euro, já que a Grã-Bretanha não abandonou o Tratado de </w:t>
      </w:r>
      <w:proofErr w:type="spellStart"/>
      <w:r w:rsidRPr="00412C05">
        <w:rPr>
          <w:rFonts w:ascii="Arial" w:hAnsi="Arial" w:cs="Arial"/>
          <w:sz w:val="22"/>
          <w:szCs w:val="22"/>
        </w:rPr>
        <w:t>Schengen</w:t>
      </w:r>
      <w:proofErr w:type="spellEnd"/>
      <w:r w:rsidRPr="00412C05">
        <w:rPr>
          <w:rFonts w:ascii="Arial" w:hAnsi="Arial" w:cs="Arial"/>
          <w:sz w:val="22"/>
          <w:szCs w:val="22"/>
        </w:rPr>
        <w:t xml:space="preserve">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E0653F8" w14:textId="77777777" w:rsidR="00412C05" w:rsidRPr="00412C05" w:rsidRDefault="00412C05" w:rsidP="00412C05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73D0144D" w14:textId="2D05F477" w:rsidR="00412C05" w:rsidRP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lang w:eastAsia="zh-CN"/>
        </w:rPr>
        <w:t>15</w:t>
      </w:r>
      <w:r w:rsidR="00412C05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12C05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gramStart"/>
      <w:r w:rsidR="00412C05" w:rsidRPr="00412C05">
        <w:rPr>
          <w:rFonts w:ascii="Arial" w:hAnsi="Arial" w:cs="Arial"/>
          <w:sz w:val="22"/>
          <w:szCs w:val="22"/>
          <w:lang w:eastAsia="zh-CN"/>
        </w:rPr>
        <w:t>Uerj</w:t>
      </w:r>
      <w:proofErr w:type="gramEnd"/>
      <w:r w:rsidR="00412C05" w:rsidRPr="00412C05">
        <w:rPr>
          <w:rFonts w:ascii="Arial" w:hAnsi="Arial" w:cs="Arial"/>
          <w:sz w:val="22"/>
          <w:szCs w:val="22"/>
          <w:lang w:eastAsia="zh-CN"/>
        </w:rPr>
        <w:t xml:space="preserve"> 2020)  </w:t>
      </w:r>
    </w:p>
    <w:p w14:paraId="10A7CB8E" w14:textId="77777777" w:rsidR="00412C05" w:rsidRPr="00412C05" w:rsidRDefault="00412C05" w:rsidP="000F5C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412C05">
        <w:rPr>
          <w:rFonts w:ascii="Arial" w:hAnsi="Arial" w:cs="Arial"/>
          <w:noProof/>
          <w:sz w:val="22"/>
          <w:szCs w:val="22"/>
          <w:shd w:val="clear" w:color="auto" w:fill="FFFFFF"/>
        </w:rPr>
        <w:drawing>
          <wp:inline distT="0" distB="0" distL="0" distR="0" wp14:anchorId="1C0C6DB5" wp14:editId="7F65C94A">
            <wp:extent cx="2944092" cy="1943100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629" cy="194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CA8D" w14:textId="77777777" w:rsidR="00412C05" w:rsidRP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DBF2D08" w14:textId="017EF95E" w:rsidR="00412C05" w:rsidRPr="00412C05" w:rsidRDefault="00412C05" w:rsidP="008853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12C05">
        <w:rPr>
          <w:rFonts w:ascii="Arial" w:hAnsi="Arial" w:cs="Arial"/>
          <w:b/>
          <w:sz w:val="22"/>
          <w:szCs w:val="22"/>
          <w:shd w:val="clear" w:color="auto" w:fill="FFFFFF"/>
        </w:rPr>
        <w:t>OS ARREPENDIDOS DO BREXIT</w:t>
      </w:r>
    </w:p>
    <w:p w14:paraId="5A2F7362" w14:textId="77777777" w:rsidR="00412C05" w:rsidRP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96A4A98" w14:textId="77777777" w:rsidR="00412C05" w:rsidRP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O britânico Will </w:t>
      </w:r>
      <w:proofErr w:type="spellStart"/>
      <w:r w:rsidRPr="00412C05">
        <w:rPr>
          <w:rFonts w:ascii="Arial" w:hAnsi="Arial" w:cs="Arial"/>
          <w:sz w:val="22"/>
          <w:szCs w:val="22"/>
          <w:shd w:val="clear" w:color="auto" w:fill="FFFFFF"/>
        </w:rPr>
        <w:t>Dry</w:t>
      </w:r>
      <w:proofErr w:type="spellEnd"/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, estudante de política e economia, tinha 18 anos quando votou pela saída do Reino Unido da União Europeia (UE) no plebiscito de 2016. </w:t>
      </w:r>
      <w:proofErr w:type="spellStart"/>
      <w:r w:rsidRPr="00412C05">
        <w:rPr>
          <w:rFonts w:ascii="Arial" w:hAnsi="Arial" w:cs="Arial"/>
          <w:sz w:val="22"/>
          <w:szCs w:val="22"/>
          <w:shd w:val="clear" w:color="auto" w:fill="FFFFFF"/>
        </w:rPr>
        <w:t>Dry</w:t>
      </w:r>
      <w:proofErr w:type="spellEnd"/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 faz parte de um grupo de arrependidos, identificados pela </w:t>
      </w:r>
      <w:proofErr w:type="spellStart"/>
      <w:r w:rsidRPr="00412C05">
        <w:rPr>
          <w:rFonts w:ascii="Arial" w:hAnsi="Arial" w:cs="Arial"/>
          <w:sz w:val="22"/>
          <w:szCs w:val="22"/>
          <w:shd w:val="clear" w:color="auto" w:fill="FFFFFF"/>
        </w:rPr>
        <w:t>hashtag</w:t>
      </w:r>
      <w:proofErr w:type="spellEnd"/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 “</w:t>
      </w:r>
      <w:proofErr w:type="spellStart"/>
      <w:r w:rsidRPr="00412C05">
        <w:rPr>
          <w:rFonts w:ascii="Arial" w:hAnsi="Arial" w:cs="Arial"/>
          <w:sz w:val="22"/>
          <w:szCs w:val="22"/>
          <w:shd w:val="clear" w:color="auto" w:fill="FFFFFF"/>
        </w:rPr>
        <w:t>Bregret</w:t>
      </w:r>
      <w:proofErr w:type="spellEnd"/>
      <w:r w:rsidRPr="00412C05">
        <w:rPr>
          <w:rFonts w:ascii="Arial" w:hAnsi="Arial" w:cs="Arial"/>
          <w:sz w:val="22"/>
          <w:szCs w:val="22"/>
          <w:shd w:val="clear" w:color="auto" w:fill="FFFFFF"/>
        </w:rPr>
        <w:t>” (combinação de “</w:t>
      </w:r>
      <w:proofErr w:type="spellStart"/>
      <w:r w:rsidRPr="00412C05">
        <w:rPr>
          <w:rFonts w:ascii="Arial" w:hAnsi="Arial" w:cs="Arial"/>
          <w:sz w:val="22"/>
          <w:szCs w:val="22"/>
          <w:shd w:val="clear" w:color="auto" w:fill="FFFFFF"/>
        </w:rPr>
        <w:t>Brexit</w:t>
      </w:r>
      <w:proofErr w:type="spellEnd"/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” e </w:t>
      </w:r>
      <w:proofErr w:type="spellStart"/>
      <w:r w:rsidRPr="00412C05">
        <w:rPr>
          <w:rFonts w:ascii="Arial" w:hAnsi="Arial" w:cs="Arial"/>
          <w:i/>
          <w:iCs/>
          <w:sz w:val="22"/>
          <w:szCs w:val="22"/>
          <w:shd w:val="clear" w:color="auto" w:fill="FFFFFF"/>
        </w:rPr>
        <w:t>regret</w:t>
      </w:r>
      <w:proofErr w:type="spellEnd"/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, arrependimento). São eleitores que se dizem enganados pelas promessas da campanha em defesa da retirada britânica da UE, principalmente a ideia de que o Reino Unido poderia manter o </w:t>
      </w:r>
      <w:r w:rsidRPr="00412C0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status </w:t>
      </w:r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de inserção e influência no plano europeu e mundial sem ter de se submeter à burocracia de uma entidade supranacional. </w:t>
      </w:r>
    </w:p>
    <w:p w14:paraId="378BDF20" w14:textId="77777777" w:rsidR="00412C05" w:rsidRPr="000F5C0F" w:rsidRDefault="00412C05" w:rsidP="000F5C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4"/>
          <w:szCs w:val="14"/>
          <w:shd w:val="clear" w:color="auto" w:fill="FFFFFF"/>
        </w:rPr>
      </w:pPr>
      <w:r w:rsidRPr="000F5C0F">
        <w:rPr>
          <w:rFonts w:ascii="Arial" w:hAnsi="Arial" w:cs="Arial"/>
          <w:sz w:val="14"/>
          <w:szCs w:val="14"/>
          <w:shd w:val="clear" w:color="auto" w:fill="FFFFFF"/>
        </w:rPr>
        <w:t xml:space="preserve">Adaptado de </w:t>
      </w:r>
      <w:proofErr w:type="gramStart"/>
      <w:r w:rsidRPr="000F5C0F">
        <w:rPr>
          <w:rFonts w:ascii="Arial" w:hAnsi="Arial" w:cs="Arial"/>
          <w:sz w:val="14"/>
          <w:szCs w:val="14"/>
          <w:shd w:val="clear" w:color="auto" w:fill="FFFFFF"/>
        </w:rPr>
        <w:t>epoca.</w:t>
      </w:r>
      <w:proofErr w:type="gramEnd"/>
      <w:r w:rsidRPr="000F5C0F">
        <w:rPr>
          <w:rFonts w:ascii="Arial" w:hAnsi="Arial" w:cs="Arial"/>
          <w:sz w:val="14"/>
          <w:szCs w:val="14"/>
          <w:shd w:val="clear" w:color="auto" w:fill="FFFFFF"/>
        </w:rPr>
        <w:t xml:space="preserve">globo.com, 02/05/2018. </w:t>
      </w:r>
    </w:p>
    <w:p w14:paraId="568106EA" w14:textId="77777777" w:rsidR="00412C05" w:rsidRDefault="00412C05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No âmbito das novas relações com o bloco europeu, parte da população britânica que votou a favor do </w:t>
      </w:r>
      <w:proofErr w:type="spellStart"/>
      <w:r w:rsidRPr="00412C05">
        <w:rPr>
          <w:rFonts w:ascii="Arial" w:hAnsi="Arial" w:cs="Arial"/>
          <w:sz w:val="22"/>
          <w:szCs w:val="22"/>
          <w:shd w:val="clear" w:color="auto" w:fill="FFFFFF"/>
        </w:rPr>
        <w:t>Brexit</w:t>
      </w:r>
      <w:proofErr w:type="spellEnd"/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 não dimensionou adequadamente a seguinte consequência dessa decisão:</w:t>
      </w:r>
      <w:proofErr w:type="gramStart"/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</w:p>
    <w:p w14:paraId="3F23356F" w14:textId="77777777" w:rsidR="000F5C0F" w:rsidRPr="00412C05" w:rsidRDefault="000F5C0F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End"/>
    </w:p>
    <w:p w14:paraId="2EF3273C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  <w:shd w:val="clear" w:color="auto" w:fill="FFFFFF"/>
        </w:rPr>
        <w:t>ameaças à defesa do território</w:t>
      </w:r>
      <w:proofErr w:type="gramStart"/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12C05">
        <w:rPr>
          <w:rFonts w:ascii="Arial" w:hAnsi="Arial" w:cs="Arial"/>
          <w:sz w:val="22"/>
          <w:szCs w:val="22"/>
        </w:rPr>
        <w:t xml:space="preserve">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134F5AC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proofErr w:type="gramEnd"/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color w:val="0070C0"/>
          <w:sz w:val="22"/>
          <w:szCs w:val="22"/>
          <w:shd w:val="clear" w:color="auto" w:fill="FFFFFF"/>
        </w:rPr>
        <w:t>restrições à circulação de riqueza</w:t>
      </w:r>
      <w:proofErr w:type="gramStart"/>
      <w:r w:rsidRPr="00412C05">
        <w:rPr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</w:t>
      </w:r>
      <w:r w:rsidRPr="00412C05">
        <w:rPr>
          <w:rFonts w:ascii="Arial" w:hAnsi="Arial" w:cs="Arial"/>
          <w:color w:val="0070C0"/>
          <w:sz w:val="22"/>
          <w:szCs w:val="22"/>
        </w:rPr>
        <w:t xml:space="preserve">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27C1AF43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proofErr w:type="gramEnd"/>
      <w:r w:rsidRPr="00412C05">
        <w:rPr>
          <w:rFonts w:ascii="Arial" w:hAnsi="Arial" w:cs="Arial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sz w:val="22"/>
          <w:szCs w:val="22"/>
          <w:shd w:val="clear" w:color="auto" w:fill="FFFFFF"/>
        </w:rPr>
        <w:t>limitações à autonomia do governo</w:t>
      </w:r>
      <w:proofErr w:type="gramStart"/>
      <w:r w:rsidRPr="00412C0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412C05">
        <w:rPr>
          <w:rFonts w:ascii="Arial" w:hAnsi="Arial" w:cs="Arial"/>
          <w:sz w:val="22"/>
          <w:szCs w:val="22"/>
        </w:rPr>
        <w:t xml:space="preserve">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4C6D66C5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proofErr w:type="gramEnd"/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  <w:shd w:val="clear" w:color="auto" w:fill="FFFFFF"/>
        </w:rPr>
        <w:t>riscos à continuidade da democracia</w:t>
      </w:r>
      <w:proofErr w:type="gramStart"/>
      <w:r w:rsidRPr="00412C05">
        <w:rPr>
          <w:rFonts w:ascii="Arial" w:hAnsi="Arial" w:cs="Arial"/>
          <w:sz w:val="22"/>
          <w:szCs w:val="22"/>
        </w:rPr>
        <w:t xml:space="preserve">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1EA2B8DB" w14:textId="77777777" w:rsidR="00412C05" w:rsidRPr="00412C05" w:rsidRDefault="00412C05" w:rsidP="00412C05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proofErr w:type="gramEnd"/>
    </w:p>
    <w:p w14:paraId="2890A566" w14:textId="2B0614FB" w:rsidR="00412C05" w:rsidRDefault="00300449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16</w:t>
      </w:r>
      <w:r w:rsidR="00412C05" w:rsidRPr="00412C05">
        <w:rPr>
          <w:rFonts w:ascii="Arial" w:hAnsi="Arial" w:cs="Arial"/>
          <w:b/>
          <w:sz w:val="22"/>
          <w:szCs w:val="22"/>
          <w:lang w:eastAsia="zh-CN"/>
        </w:rPr>
        <w:t>.</w:t>
      </w:r>
      <w:r w:rsidR="00412C05" w:rsidRPr="00412C05">
        <w:rPr>
          <w:rFonts w:ascii="Arial" w:hAnsi="Arial" w:cs="Arial"/>
          <w:sz w:val="22"/>
          <w:szCs w:val="22"/>
          <w:lang w:eastAsia="zh-CN"/>
        </w:rPr>
        <w:t xml:space="preserve"> (</w:t>
      </w:r>
      <w:proofErr w:type="spellStart"/>
      <w:r w:rsidR="00412C05" w:rsidRPr="00412C05">
        <w:rPr>
          <w:rFonts w:ascii="Arial" w:hAnsi="Arial" w:cs="Arial"/>
          <w:sz w:val="22"/>
          <w:szCs w:val="22"/>
          <w:lang w:eastAsia="zh-CN"/>
        </w:rPr>
        <w:t>Ufrr-pss</w:t>
      </w:r>
      <w:proofErr w:type="spellEnd"/>
      <w:r w:rsidR="00412C05" w:rsidRPr="00412C05">
        <w:rPr>
          <w:rFonts w:ascii="Arial" w:hAnsi="Arial" w:cs="Arial"/>
          <w:sz w:val="22"/>
          <w:szCs w:val="22"/>
          <w:lang w:eastAsia="zh-CN"/>
        </w:rPr>
        <w:t xml:space="preserve"> 3 2022)</w:t>
      </w:r>
      <w:proofErr w:type="gramStart"/>
      <w:r w:rsidR="00412C05"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  <w:proofErr w:type="gramEnd"/>
      <w:r w:rsidR="00412C05" w:rsidRPr="00412C05">
        <w:rPr>
          <w:rFonts w:ascii="Arial" w:hAnsi="Arial" w:cs="Arial"/>
          <w:sz w:val="22"/>
          <w:szCs w:val="22"/>
        </w:rPr>
        <w:t xml:space="preserve">Sobre o atual processo de industrialização, baseado naquilo que vem sendo chamado de Indústria 4.0, é INCORRETO afirmar que: </w:t>
      </w:r>
    </w:p>
    <w:p w14:paraId="44C5AB55" w14:textId="77777777" w:rsidR="000F5C0F" w:rsidRPr="00412C05" w:rsidRDefault="000F5C0F" w:rsidP="00412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25F70C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a) </w:t>
      </w:r>
      <w:r w:rsidRPr="00412C05">
        <w:rPr>
          <w:rFonts w:ascii="Arial" w:hAnsi="Arial" w:cs="Arial"/>
          <w:sz w:val="22"/>
          <w:szCs w:val="22"/>
        </w:rPr>
        <w:t xml:space="preserve">Está fundamentada na automação industrial, que exige a integração da inteligência artificial, robótica, internet das coisas e computação em nuvem.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B835BA7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b) </w:t>
      </w:r>
      <w:r w:rsidRPr="00412C05">
        <w:rPr>
          <w:rFonts w:ascii="Arial" w:hAnsi="Arial" w:cs="Arial"/>
          <w:sz w:val="22"/>
          <w:szCs w:val="22"/>
        </w:rPr>
        <w:t xml:space="preserve">A partir do uso e integração entre diferentes tecnologias há a alteração das etapas da produção e os modelos de negócios, mas que no Brasil exigirá adaptação para os diferentes setores e empresas.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95FFCC5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color w:val="0070C0"/>
          <w:sz w:val="22"/>
          <w:szCs w:val="22"/>
          <w:lang w:val="en-US" w:eastAsia="zh-CN"/>
        </w:rPr>
      </w:pP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c) </w:t>
      </w:r>
      <w:r w:rsidRPr="00412C05">
        <w:rPr>
          <w:rFonts w:ascii="Arial" w:hAnsi="Arial" w:cs="Arial"/>
          <w:color w:val="0070C0"/>
          <w:sz w:val="22"/>
          <w:szCs w:val="22"/>
        </w:rPr>
        <w:t>O elevado conhecimento sobre o uso de tecnologias digitais e dos benefícios alcançados</w:t>
      </w:r>
      <w:proofErr w:type="gramStart"/>
      <w:r w:rsidRPr="00412C05">
        <w:rPr>
          <w:rFonts w:ascii="Arial" w:hAnsi="Arial" w:cs="Arial"/>
          <w:color w:val="0070C0"/>
          <w:sz w:val="22"/>
          <w:szCs w:val="22"/>
        </w:rPr>
        <w:t>, apontam</w:t>
      </w:r>
      <w:proofErr w:type="gramEnd"/>
      <w:r w:rsidRPr="00412C05">
        <w:rPr>
          <w:rFonts w:ascii="Arial" w:hAnsi="Arial" w:cs="Arial"/>
          <w:color w:val="0070C0"/>
          <w:sz w:val="22"/>
          <w:szCs w:val="22"/>
        </w:rPr>
        <w:t xml:space="preserve"> para um acelerado processo de difusão da indústria 4.0 no Brasil, fato que também é resultado da homogeneidade industrial brasileira.  </w:t>
      </w:r>
      <w:r w:rsidRPr="00412C05">
        <w:rPr>
          <w:rFonts w:ascii="Arial" w:hAnsi="Arial" w:cs="Arial"/>
          <w:color w:val="0070C0"/>
          <w:sz w:val="22"/>
          <w:szCs w:val="22"/>
          <w:lang w:eastAsia="zh-CN"/>
        </w:rPr>
        <w:t xml:space="preserve">  </w:t>
      </w:r>
    </w:p>
    <w:p w14:paraId="5270E902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d) </w:t>
      </w:r>
      <w:r w:rsidRPr="00412C05">
        <w:rPr>
          <w:rFonts w:ascii="Arial" w:hAnsi="Arial" w:cs="Arial"/>
          <w:sz w:val="22"/>
          <w:szCs w:val="22"/>
        </w:rPr>
        <w:t xml:space="preserve">Produz impacto significativo na produtividade, pois a partir do uso de máquinas, computadores e dados é possível aumentar a eficiência do uso de recursos e no desenvolvimento de produtos. 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0A7CA97" w14:textId="77777777" w:rsidR="00412C05" w:rsidRPr="00412C05" w:rsidRDefault="00412C05" w:rsidP="00412C05">
      <w:pPr>
        <w:ind w:left="227" w:hanging="227"/>
        <w:jc w:val="both"/>
        <w:rPr>
          <w:rFonts w:ascii="Arial" w:hAnsi="Arial" w:cs="Arial"/>
          <w:sz w:val="22"/>
          <w:szCs w:val="22"/>
          <w:lang w:val="en-US"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e) </w:t>
      </w:r>
      <w:r w:rsidRPr="00412C05">
        <w:rPr>
          <w:rFonts w:ascii="Arial" w:hAnsi="Arial" w:cs="Arial"/>
          <w:sz w:val="22"/>
          <w:szCs w:val="22"/>
        </w:rPr>
        <w:t xml:space="preserve">No Brasil, um dos desafios da indústria 4.0 é superar as desigualdades sociais e regionais quanto à infraestrutura técnico-científico-informacional, que segue bastante concentrada em porções específicas do território nacional. </w:t>
      </w:r>
      <w:r w:rsidRPr="00412C05">
        <w:rPr>
          <w:rFonts w:ascii="Arial" w:hAnsi="Arial" w:cs="Arial"/>
          <w:sz w:val="22"/>
          <w:szCs w:val="22"/>
          <w:lang w:eastAsia="zh-CN"/>
        </w:rPr>
        <w:t xml:space="preserve">  </w:t>
      </w:r>
    </w:p>
    <w:p w14:paraId="5013ED07" w14:textId="1708C094" w:rsidR="00412C05" w:rsidRDefault="00412C05" w:rsidP="00412C05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412C05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12538136" w14:textId="77777777" w:rsidR="00412C05" w:rsidRDefault="00412C05" w:rsidP="00FE2A3D">
      <w:pPr>
        <w:widowControl w:val="0"/>
        <w:jc w:val="both"/>
        <w:rPr>
          <w:rFonts w:ascii="Arial" w:eastAsia="Arial" w:hAnsi="Arial" w:cs="Arial"/>
        </w:rPr>
      </w:pPr>
      <w:bookmarkStart w:id="0" w:name="_GoBack"/>
      <w:bookmarkEnd w:id="0"/>
    </w:p>
    <w:sectPr w:rsidR="00412C05" w:rsidSect="00B53E75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9585F" w14:textId="77777777" w:rsidR="00AC2B4C" w:rsidRDefault="00AC2B4C" w:rsidP="008C3103">
      <w:r>
        <w:separator/>
      </w:r>
    </w:p>
  </w:endnote>
  <w:endnote w:type="continuationSeparator" w:id="0">
    <w:p w14:paraId="610319A6" w14:textId="77777777" w:rsidR="00AC2B4C" w:rsidRDefault="00AC2B4C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246361"/>
      <w:docPartObj>
        <w:docPartGallery w:val="Page Numbers (Bottom of Page)"/>
        <w:docPartUnique/>
      </w:docPartObj>
    </w:sdtPr>
    <w:sdtEndPr/>
    <w:sdtContent>
      <w:p w14:paraId="1288467A" w14:textId="73E80B6C" w:rsidR="00FE2A3D" w:rsidRDefault="00FE2A3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BB8">
          <w:rPr>
            <w:noProof/>
          </w:rPr>
          <w:t>4</w:t>
        </w:r>
        <w:r>
          <w:fldChar w:fldCharType="end"/>
        </w:r>
      </w:p>
    </w:sdtContent>
  </w:sdt>
  <w:p w14:paraId="3D44F513" w14:textId="77777777" w:rsidR="00FE2A3D" w:rsidRDefault="00FE2A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A89FF" w14:textId="77777777" w:rsidR="00AC2B4C" w:rsidRDefault="00AC2B4C" w:rsidP="008C3103">
      <w:r>
        <w:separator/>
      </w:r>
    </w:p>
  </w:footnote>
  <w:footnote w:type="continuationSeparator" w:id="0">
    <w:p w14:paraId="74EACFFF" w14:textId="77777777" w:rsidR="00AC2B4C" w:rsidRDefault="00AC2B4C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8"/>
  </w:num>
  <w:num w:numId="4">
    <w:abstractNumId w:val="15"/>
  </w:num>
  <w:num w:numId="5">
    <w:abstractNumId w:val="10"/>
  </w:num>
  <w:num w:numId="6">
    <w:abstractNumId w:val="3"/>
  </w:num>
  <w:num w:numId="7">
    <w:abstractNumId w:val="25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4"/>
  </w:num>
  <w:num w:numId="13">
    <w:abstractNumId w:val="28"/>
  </w:num>
  <w:num w:numId="14">
    <w:abstractNumId w:val="21"/>
  </w:num>
  <w:num w:numId="15">
    <w:abstractNumId w:val="6"/>
  </w:num>
  <w:num w:numId="16">
    <w:abstractNumId w:val="0"/>
  </w:num>
  <w:num w:numId="17">
    <w:abstractNumId w:val="4"/>
  </w:num>
  <w:num w:numId="18">
    <w:abstractNumId w:val="23"/>
  </w:num>
  <w:num w:numId="19">
    <w:abstractNumId w:val="20"/>
  </w:num>
  <w:num w:numId="20">
    <w:abstractNumId w:val="17"/>
  </w:num>
  <w:num w:numId="21">
    <w:abstractNumId w:val="13"/>
  </w:num>
  <w:num w:numId="22">
    <w:abstractNumId w:val="9"/>
  </w:num>
  <w:num w:numId="23">
    <w:abstractNumId w:val="26"/>
  </w:num>
  <w:num w:numId="24">
    <w:abstractNumId w:val="27"/>
  </w:num>
  <w:num w:numId="25">
    <w:abstractNumId w:val="2"/>
  </w:num>
  <w:num w:numId="26">
    <w:abstractNumId w:val="12"/>
  </w:num>
  <w:num w:numId="27">
    <w:abstractNumId w:val="24"/>
  </w:num>
  <w:num w:numId="28">
    <w:abstractNumId w:val="1"/>
  </w:num>
  <w:num w:numId="29">
    <w:abstractNumId w:val="22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5C0F"/>
    <w:rsid w:val="000F70BA"/>
    <w:rsid w:val="001076EB"/>
    <w:rsid w:val="00112357"/>
    <w:rsid w:val="001146E1"/>
    <w:rsid w:val="00121577"/>
    <w:rsid w:val="00124A37"/>
    <w:rsid w:val="00125149"/>
    <w:rsid w:val="0012607F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24E7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D4551"/>
    <w:rsid w:val="002D6A33"/>
    <w:rsid w:val="002E175D"/>
    <w:rsid w:val="002E2AD2"/>
    <w:rsid w:val="00300449"/>
    <w:rsid w:val="0030534B"/>
    <w:rsid w:val="00313D07"/>
    <w:rsid w:val="003147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7B30"/>
    <w:rsid w:val="003A019E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C05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0BB8"/>
    <w:rsid w:val="00491DDF"/>
    <w:rsid w:val="0049335A"/>
    <w:rsid w:val="00494A23"/>
    <w:rsid w:val="00494C97"/>
    <w:rsid w:val="004A003F"/>
    <w:rsid w:val="004B0C4A"/>
    <w:rsid w:val="004C237F"/>
    <w:rsid w:val="004C27C8"/>
    <w:rsid w:val="004D14BD"/>
    <w:rsid w:val="004D3B88"/>
    <w:rsid w:val="004D44D4"/>
    <w:rsid w:val="004D4621"/>
    <w:rsid w:val="004D7694"/>
    <w:rsid w:val="004E6416"/>
    <w:rsid w:val="004F1B76"/>
    <w:rsid w:val="0050109D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3E22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12F7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3DE9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02763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012F"/>
    <w:rsid w:val="00771F2B"/>
    <w:rsid w:val="007740CB"/>
    <w:rsid w:val="00774D6A"/>
    <w:rsid w:val="007754E1"/>
    <w:rsid w:val="00775758"/>
    <w:rsid w:val="00776A07"/>
    <w:rsid w:val="007773BF"/>
    <w:rsid w:val="007839E8"/>
    <w:rsid w:val="007900CD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93E"/>
    <w:rsid w:val="007C4DFA"/>
    <w:rsid w:val="007D2BDF"/>
    <w:rsid w:val="007D4A01"/>
    <w:rsid w:val="007D5F98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530B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42C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318C"/>
    <w:rsid w:val="009F3497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154C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666E0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C2B4C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3E75"/>
    <w:rsid w:val="00B54F12"/>
    <w:rsid w:val="00B66869"/>
    <w:rsid w:val="00B66BF2"/>
    <w:rsid w:val="00B67B5D"/>
    <w:rsid w:val="00B732F5"/>
    <w:rsid w:val="00B80166"/>
    <w:rsid w:val="00B81F42"/>
    <w:rsid w:val="00B8364C"/>
    <w:rsid w:val="00BC3FDE"/>
    <w:rsid w:val="00BC7B1A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0566"/>
    <w:rsid w:val="00C06B8D"/>
    <w:rsid w:val="00C14270"/>
    <w:rsid w:val="00C14739"/>
    <w:rsid w:val="00C17D4B"/>
    <w:rsid w:val="00C216CD"/>
    <w:rsid w:val="00C21DA3"/>
    <w:rsid w:val="00C26741"/>
    <w:rsid w:val="00C326E6"/>
    <w:rsid w:val="00C408A7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A6259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CF7980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B5E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97D55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07CD8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4B74"/>
    <w:rsid w:val="00F3704F"/>
    <w:rsid w:val="00F4296E"/>
    <w:rsid w:val="00F42BBD"/>
    <w:rsid w:val="00F44829"/>
    <w:rsid w:val="00F47D42"/>
    <w:rsid w:val="00F54264"/>
    <w:rsid w:val="00F5635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2A3D"/>
    <w:rsid w:val="00FE4C39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uiPriority w:val="99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uiPriority w:val="99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818F-7CF6-44DF-898C-6E7C0230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2341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Daniel Matos</cp:lastModifiedBy>
  <cp:revision>3</cp:revision>
  <cp:lastPrinted>2023-02-08T10:21:00Z</cp:lastPrinted>
  <dcterms:created xsi:type="dcterms:W3CDTF">2024-08-09T20:49:00Z</dcterms:created>
  <dcterms:modified xsi:type="dcterms:W3CDTF">2024-08-09T20:54:00Z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