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B4E" w14:textId="1558D739" w:rsidR="00B95974" w:rsidRPr="00B95974" w:rsidRDefault="00B95974" w:rsidP="00B95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974">
        <w:rPr>
          <w:rFonts w:ascii="Times New Roman" w:hAnsi="Times New Roman" w:cs="Times New Roman"/>
          <w:b/>
          <w:bCs/>
          <w:sz w:val="24"/>
          <w:szCs w:val="24"/>
        </w:rPr>
        <w:t>Exercícios Origem da vida (Parte 2)</w:t>
      </w:r>
    </w:p>
    <w:p w14:paraId="261A2A62" w14:textId="1A8B0562" w:rsidR="00432CF3" w:rsidRPr="00A923AB" w:rsidRDefault="00432CF3" w:rsidP="00B959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3AB">
        <w:rPr>
          <w:rFonts w:ascii="Times New Roman" w:hAnsi="Times New Roman" w:cs="Times New Roman"/>
          <w:b/>
          <w:bCs/>
          <w:sz w:val="24"/>
          <w:szCs w:val="24"/>
        </w:rPr>
        <w:t>GABARITO:</w:t>
      </w:r>
    </w:p>
    <w:p w14:paraId="3C8672AB" w14:textId="1BBA864F" w:rsidR="00432CF3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A923AB">
        <w:rPr>
          <w:rFonts w:ascii="Times New Roman" w:hAnsi="Times New Roman" w:cs="Times New Roman"/>
          <w:sz w:val="24"/>
          <w:szCs w:val="24"/>
        </w:rPr>
        <w:t xml:space="preserve"> 5,3,2,4,1</w:t>
      </w:r>
    </w:p>
    <w:p w14:paraId="14901DBB" w14:textId="7A115A45" w:rsidR="00432CF3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432CF3">
        <w:rPr>
          <w:rFonts w:ascii="Times New Roman" w:hAnsi="Times New Roman" w:cs="Times New Roman"/>
          <w:sz w:val="24"/>
          <w:szCs w:val="24"/>
        </w:rPr>
        <w:t>A abiogênese defende que o surgimento de seres vivos pode ocorrer a partir de seres não-vivos. A biogênese surgiu para desmistificar a primeira teoria. Ela defende que o nascimento dos seres vivos depende de um outro ser vivo para a reprodução</w:t>
      </w:r>
      <w:r w:rsidR="00A923AB">
        <w:rPr>
          <w:rFonts w:ascii="Times New Roman" w:hAnsi="Times New Roman" w:cs="Times New Roman"/>
          <w:sz w:val="24"/>
          <w:szCs w:val="24"/>
        </w:rPr>
        <w:t>.</w:t>
      </w:r>
    </w:p>
    <w:p w14:paraId="20ACDBDB" w14:textId="78E2C996" w:rsidR="00432CF3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Letra C</w:t>
      </w:r>
    </w:p>
    <w:p w14:paraId="74AD808E" w14:textId="77777777" w:rsidR="00432CF3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A) </w:t>
      </w:r>
      <w:r w:rsidRPr="00432CF3">
        <w:rPr>
          <w:rFonts w:ascii="Times New Roman" w:hAnsi="Times New Roman" w:cs="Times New Roman"/>
          <w:sz w:val="24"/>
          <w:szCs w:val="24"/>
        </w:rPr>
        <w:t>Aristóteles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32CF3">
        <w:rPr>
          <w:rFonts w:ascii="Times New Roman" w:hAnsi="Times New Roman" w:cs="Times New Roman"/>
          <w:sz w:val="24"/>
          <w:szCs w:val="24"/>
        </w:rPr>
        <w:t xml:space="preserve"> Jean Baptitste Van Helmot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FF738" w14:textId="3E8759AB" w:rsidR="00432CF3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32CF3">
        <w:rPr>
          <w:rFonts w:ascii="Times New Roman" w:hAnsi="Times New Roman" w:cs="Times New Roman"/>
          <w:sz w:val="24"/>
          <w:szCs w:val="24"/>
        </w:rPr>
        <w:t>A Teoria da Abiogênese ou da Geração Espontânea admitia que os seres vivos eram originados a partir de uma matéria bruta sem vida. Os defensores da abiogênese afirmavam que existia uma "força vital" em alguns tipos de matéria orgânica, responsável por originar os seres vivos.</w:t>
      </w:r>
    </w:p>
    <w:p w14:paraId="0BA2E4A4" w14:textId="77777777" w:rsidR="00432CF3" w:rsidRPr="00B95974" w:rsidRDefault="00432CF3" w:rsidP="00B959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2CF3" w:rsidRPr="00B95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604C"/>
    <w:multiLevelType w:val="hybridMultilevel"/>
    <w:tmpl w:val="508805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2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74"/>
    <w:rsid w:val="00235D35"/>
    <w:rsid w:val="00432CF3"/>
    <w:rsid w:val="004457A9"/>
    <w:rsid w:val="007D27CE"/>
    <w:rsid w:val="00A923AB"/>
    <w:rsid w:val="00B95974"/>
    <w:rsid w:val="00BD754E"/>
    <w:rsid w:val="00C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09FE"/>
  <w15:chartTrackingRefBased/>
  <w15:docId w15:val="{A8662C5B-CB11-490E-9AC6-0BB47B48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2024-02-23T11:57:00Z</dcterms:created>
  <dcterms:modified xsi:type="dcterms:W3CDTF">2024-02-23T11:57:00Z</dcterms:modified>
</cp:coreProperties>
</file>